
<file path=[Content_Types].xml><?xml version="1.0" encoding="utf-8"?>
<Types xmlns="http://schemas.openxmlformats.org/package/2006/content-types">
  <Default Extension="tmp" ContentType="image/png"/>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99E983" w14:textId="66AEAF14" w:rsidR="00592457" w:rsidRPr="00592457" w:rsidRDefault="00592457" w:rsidP="00CC3B83">
      <w:pPr>
        <w:rPr>
          <w:rStyle w:val="Bold"/>
          <w:color w:val="415D13" w:themeColor="accent2" w:themeShade="80"/>
          <w:sz w:val="36"/>
          <w:szCs w:val="36"/>
        </w:rPr>
      </w:pPr>
      <w:bookmarkStart w:id="1" w:name="_Hlk174693061"/>
      <w:bookmarkStart w:id="2" w:name="_GoBack"/>
      <w:bookmarkEnd w:id="1"/>
      <w:bookmarkEnd w:id="2"/>
      <w:r w:rsidRPr="00592457">
        <w:rPr>
          <w:rStyle w:val="Bold"/>
          <w:color w:val="415D13" w:themeColor="accent2" w:themeShade="80"/>
          <w:sz w:val="36"/>
          <w:szCs w:val="36"/>
        </w:rPr>
        <w:t>Supporting guidance on providing Emergency Contraception (and Bridging Contraception – where appropriate)</w:t>
      </w:r>
    </w:p>
    <w:p w14:paraId="3134CBB2" w14:textId="25C3AB17" w:rsidR="007639B5" w:rsidRPr="002C2831" w:rsidRDefault="00604B68" w:rsidP="00CC3B83">
      <w:pPr>
        <w:rPr>
          <w:rStyle w:val="Bold"/>
        </w:rPr>
      </w:pPr>
      <w:r>
        <w:rPr>
          <w:rStyle w:val="Bold"/>
        </w:rPr>
        <w:t xml:space="preserve">Emergency </w:t>
      </w:r>
      <w:r w:rsidR="00DE37E2">
        <w:rPr>
          <w:rStyle w:val="Bold"/>
        </w:rPr>
        <w:t xml:space="preserve">Hormonal </w:t>
      </w:r>
      <w:r>
        <w:rPr>
          <w:rStyle w:val="Bold"/>
        </w:rPr>
        <w:t xml:space="preserve">Contraception using </w:t>
      </w:r>
      <w:r w:rsidR="00833501">
        <w:rPr>
          <w:rStyle w:val="Bold"/>
        </w:rPr>
        <w:t xml:space="preserve">Ulipristal </w:t>
      </w:r>
      <w:r w:rsidR="002C2831">
        <w:rPr>
          <w:rStyle w:val="Bold"/>
        </w:rPr>
        <w:t>30mg (Ella One</w:t>
      </w:r>
      <w:r w:rsidR="002C2831">
        <w:rPr>
          <w:rStyle w:val="Bold"/>
          <w:vertAlign w:val="superscript"/>
        </w:rPr>
        <w:t>®</w:t>
      </w:r>
      <w:r w:rsidR="00701746">
        <w:rPr>
          <w:rStyle w:val="Bold"/>
        </w:rPr>
        <w:t>) or levonorgestrel (via PGD) and Bridging Contraception using desogestrel (via PGD)</w:t>
      </w:r>
    </w:p>
    <w:p w14:paraId="2D064F82" w14:textId="5AA7FC25" w:rsidR="00890019" w:rsidRDefault="007639B5" w:rsidP="007639B5">
      <w:r w:rsidRPr="007639B5">
        <w:t xml:space="preserve">This </w:t>
      </w:r>
      <w:r w:rsidR="008D5605">
        <w:t xml:space="preserve">guidance has been produced </w:t>
      </w:r>
      <w:r w:rsidR="00E43B78">
        <w:t xml:space="preserve">to support </w:t>
      </w:r>
      <w:r w:rsidR="00771438">
        <w:t>c</w:t>
      </w:r>
      <w:r w:rsidR="00E43B78">
        <w:t xml:space="preserve">ommunity </w:t>
      </w:r>
      <w:r w:rsidR="00771438">
        <w:t>p</w:t>
      </w:r>
      <w:r w:rsidR="00E43B78">
        <w:t xml:space="preserve">harmacists </w:t>
      </w:r>
      <w:r w:rsidR="00890019">
        <w:t>provide Emergency Contraception and Bridging Contraception</w:t>
      </w:r>
      <w:r w:rsidR="00771438">
        <w:t xml:space="preserve"> services</w:t>
      </w:r>
      <w:r w:rsidR="00890019">
        <w:t>.</w:t>
      </w:r>
    </w:p>
    <w:p w14:paraId="0225B340" w14:textId="63428586" w:rsidR="003B6E73" w:rsidRPr="00450E95" w:rsidRDefault="001A1AF2" w:rsidP="007639B5">
      <w:r>
        <w:t>PGDs for Emergency Hormonal Contraception</w:t>
      </w:r>
      <w:r w:rsidR="001414AE">
        <w:t xml:space="preserve"> (EHC)</w:t>
      </w:r>
      <w:r>
        <w:t xml:space="preserve"> are written and signed off at a local Health Board level – therefore there may be slight variation in some of the details of specific PGDs</w:t>
      </w:r>
      <w:r w:rsidR="00450E95" w:rsidRPr="00450E95">
        <w:rPr>
          <w:i/>
          <w:iCs/>
        </w:rPr>
        <w:t xml:space="preserve">.  </w:t>
      </w:r>
      <w:r w:rsidR="003B6E73" w:rsidRPr="00450E95">
        <w:rPr>
          <w:i/>
          <w:iCs/>
        </w:rPr>
        <w:t>Please refer to the version published by the Health Board you are working in.</w:t>
      </w:r>
    </w:p>
    <w:p w14:paraId="3672824F" w14:textId="61889701" w:rsidR="00CE7DB3" w:rsidRDefault="00CE7DB3" w:rsidP="007639B5">
      <w:r>
        <w:t>The Bridging Contraception Service is underpinned by a national PGD signed off by NHS 24 on behalf of NHS Scotland</w:t>
      </w:r>
      <w:r w:rsidR="0070715D">
        <w:t xml:space="preserve"> in a “Once for Scotland” approach.</w:t>
      </w:r>
    </w:p>
    <w:p w14:paraId="325D8C42" w14:textId="3F42FC02" w:rsidR="00890019" w:rsidRDefault="00307ACC" w:rsidP="007639B5">
      <w:r>
        <w:t xml:space="preserve">For detailed guidance, please refer to the Faculty of </w:t>
      </w:r>
      <w:r w:rsidR="00EF099A">
        <w:t>Sexual and Reproductive Health guidelines:</w:t>
      </w:r>
    </w:p>
    <w:p w14:paraId="077327DE" w14:textId="6517248B" w:rsidR="00EF099A" w:rsidRPr="000C53C4" w:rsidRDefault="001B1066" w:rsidP="007639B5">
      <w:pPr>
        <w:rPr>
          <w:color w:val="415D13" w:themeColor="accent2" w:themeShade="80"/>
        </w:rPr>
      </w:pPr>
      <w:hyperlink r:id="rId11" w:history="1">
        <w:r w:rsidR="00A94DBF" w:rsidRPr="000C53C4">
          <w:rPr>
            <w:rStyle w:val="Hyperlink"/>
            <w:color w:val="415D13" w:themeColor="accent2" w:themeShade="80"/>
          </w:rPr>
          <w:t>FSRH Clinical Guideline: Emergency Contraception (March 2017, amended July 2023) - Faculty of Sexual and Reproductive Healthcare</w:t>
        </w:r>
      </w:hyperlink>
    </w:p>
    <w:p w14:paraId="5C1558B0" w14:textId="486F00C4" w:rsidR="00A94DBF" w:rsidRPr="000C53C4" w:rsidRDefault="001B1066" w:rsidP="007639B5">
      <w:pPr>
        <w:rPr>
          <w:color w:val="415D13" w:themeColor="accent2" w:themeShade="80"/>
        </w:rPr>
      </w:pPr>
      <w:hyperlink r:id="rId12" w:history="1">
        <w:r w:rsidR="000C53C4" w:rsidRPr="000C53C4">
          <w:rPr>
            <w:rStyle w:val="Hyperlink"/>
            <w:color w:val="415D13" w:themeColor="accent2" w:themeShade="80"/>
          </w:rPr>
          <w:t>FSRH Clinical Guideline: Quick Starting Contraception (April 2017) - Faculty of Sexual and Reproductive Healthcare</w:t>
        </w:r>
      </w:hyperlink>
    </w:p>
    <w:p w14:paraId="3FAC5D03" w14:textId="4E0A0FB2" w:rsidR="00CB7E18" w:rsidRPr="006634E0" w:rsidRDefault="00063D04" w:rsidP="00B54C6F">
      <w:pPr>
        <w:autoSpaceDE w:val="0"/>
        <w:autoSpaceDN w:val="0"/>
        <w:adjustRightInd w:val="0"/>
        <w:spacing w:after="0" w:line="240" w:lineRule="auto"/>
        <w:rPr>
          <w:u w:val="single"/>
        </w:rPr>
      </w:pPr>
      <w:r w:rsidRPr="006634E0">
        <w:rPr>
          <w:u w:val="single"/>
        </w:rPr>
        <w:t>Abbreviations</w:t>
      </w:r>
    </w:p>
    <w:p w14:paraId="3B41710F" w14:textId="6B222EC2" w:rsidR="00063D04" w:rsidRPr="006634E0" w:rsidRDefault="00A8589B" w:rsidP="00B54C6F">
      <w:pPr>
        <w:autoSpaceDE w:val="0"/>
        <w:autoSpaceDN w:val="0"/>
        <w:adjustRightInd w:val="0"/>
        <w:spacing w:after="0" w:line="240" w:lineRule="auto"/>
      </w:pPr>
      <w:r w:rsidRPr="006634E0">
        <w:t>EC</w:t>
      </w:r>
      <w:r w:rsidR="003135D0">
        <w:t xml:space="preserve"> – Emergency Contraception</w:t>
      </w:r>
    </w:p>
    <w:p w14:paraId="65F84DDE" w14:textId="760C320F" w:rsidR="00A8589B" w:rsidRPr="006634E0" w:rsidRDefault="00A8589B" w:rsidP="00B54C6F">
      <w:pPr>
        <w:autoSpaceDE w:val="0"/>
        <w:autoSpaceDN w:val="0"/>
        <w:adjustRightInd w:val="0"/>
        <w:spacing w:after="0" w:line="240" w:lineRule="auto"/>
      </w:pPr>
      <w:r w:rsidRPr="006634E0">
        <w:t>EC-LNG</w:t>
      </w:r>
      <w:r w:rsidR="003135D0">
        <w:t xml:space="preserve"> – Emergency Contraception Levonorgestrel</w:t>
      </w:r>
    </w:p>
    <w:p w14:paraId="67318668" w14:textId="4670CF66" w:rsidR="00A8589B" w:rsidRPr="006634E0" w:rsidRDefault="00A8589B" w:rsidP="00B54C6F">
      <w:pPr>
        <w:autoSpaceDE w:val="0"/>
        <w:autoSpaceDN w:val="0"/>
        <w:adjustRightInd w:val="0"/>
        <w:spacing w:after="0" w:line="240" w:lineRule="auto"/>
      </w:pPr>
      <w:r w:rsidRPr="006634E0">
        <w:t>EC-UPA</w:t>
      </w:r>
      <w:r w:rsidR="003135D0">
        <w:t xml:space="preserve"> – Emergency Contraception Ulipristal</w:t>
      </w:r>
    </w:p>
    <w:p w14:paraId="28128623" w14:textId="41707B84" w:rsidR="00A8589B" w:rsidRPr="006634E0" w:rsidRDefault="00A8589B" w:rsidP="00B54C6F">
      <w:pPr>
        <w:autoSpaceDE w:val="0"/>
        <w:autoSpaceDN w:val="0"/>
        <w:adjustRightInd w:val="0"/>
        <w:spacing w:after="0" w:line="240" w:lineRule="auto"/>
      </w:pPr>
      <w:r w:rsidRPr="006634E0">
        <w:t>Cu-IUD</w:t>
      </w:r>
      <w:r w:rsidR="003135D0">
        <w:t xml:space="preserve"> – Copper intra-uterine device</w:t>
      </w:r>
    </w:p>
    <w:p w14:paraId="2BF21E06" w14:textId="63F1CC40" w:rsidR="00A8589B" w:rsidRPr="006634E0" w:rsidRDefault="00E940E7" w:rsidP="00B54C6F">
      <w:pPr>
        <w:autoSpaceDE w:val="0"/>
        <w:autoSpaceDN w:val="0"/>
        <w:adjustRightInd w:val="0"/>
        <w:spacing w:after="0" w:line="240" w:lineRule="auto"/>
      </w:pPr>
      <w:r w:rsidRPr="006634E0">
        <w:t>UPSI</w:t>
      </w:r>
      <w:r w:rsidR="003135D0">
        <w:t xml:space="preserve"> – Unprotected Sexual Intercourse</w:t>
      </w:r>
    </w:p>
    <w:p w14:paraId="7D747A99" w14:textId="77777777" w:rsidR="00DA3F8C" w:rsidRDefault="00DA3F8C">
      <w:pPr>
        <w:rPr>
          <w:sz w:val="6"/>
          <w:szCs w:val="6"/>
        </w:rPr>
      </w:pPr>
    </w:p>
    <w:p w14:paraId="530034E2" w14:textId="77777777" w:rsidR="003025D4" w:rsidRDefault="003025D4">
      <w:pPr>
        <w:rPr>
          <w:sz w:val="6"/>
          <w:szCs w:val="6"/>
        </w:rPr>
      </w:pPr>
    </w:p>
    <w:p w14:paraId="105B7CDB" w14:textId="77777777" w:rsidR="003025D4" w:rsidRDefault="003025D4">
      <w:pPr>
        <w:rPr>
          <w:sz w:val="6"/>
          <w:szCs w:val="6"/>
        </w:rPr>
      </w:pPr>
    </w:p>
    <w:p w14:paraId="234E3117" w14:textId="77777777" w:rsidR="003025D4" w:rsidRDefault="003025D4">
      <w:pPr>
        <w:rPr>
          <w:sz w:val="6"/>
          <w:szCs w:val="6"/>
        </w:rPr>
      </w:pPr>
    </w:p>
    <w:p w14:paraId="58CBB385" w14:textId="77777777" w:rsidR="003025D4" w:rsidRDefault="003025D4">
      <w:pPr>
        <w:rPr>
          <w:sz w:val="6"/>
          <w:szCs w:val="6"/>
        </w:rPr>
      </w:pPr>
    </w:p>
    <w:p w14:paraId="4919BC96" w14:textId="56575B55" w:rsidR="00226EA0" w:rsidRPr="003025D4" w:rsidRDefault="003025D4">
      <w:pPr>
        <w:rPr>
          <w:b/>
          <w:bCs/>
          <w:color w:val="415D13" w:themeColor="accent2" w:themeShade="80"/>
          <w:sz w:val="36"/>
          <w:szCs w:val="36"/>
        </w:rPr>
      </w:pPr>
      <w:r w:rsidRPr="003025D4">
        <w:rPr>
          <w:b/>
          <w:bCs/>
          <w:color w:val="415D13" w:themeColor="accent2" w:themeShade="80"/>
          <w:sz w:val="36"/>
          <w:szCs w:val="36"/>
        </w:rPr>
        <w:t>Frequently Asked Questions</w:t>
      </w:r>
    </w:p>
    <w:p w14:paraId="3D89994F" w14:textId="59BBD654" w:rsidR="00812AA5" w:rsidRDefault="00226EA0">
      <w:pPr>
        <w:pStyle w:val="TOC1"/>
        <w:rPr>
          <w:rFonts w:asciiTheme="minorHAnsi" w:eastAsiaTheme="minorEastAsia" w:hAnsiTheme="minorHAnsi"/>
          <w:kern w:val="2"/>
          <w:szCs w:val="24"/>
          <w:lang w:eastAsia="en-GB"/>
          <w14:ligatures w14:val="standardContextual"/>
        </w:rPr>
      </w:pPr>
      <w:r>
        <w:fldChar w:fldCharType="begin"/>
      </w:r>
      <w:r>
        <w:instrText xml:space="preserve"> TOC \o "1-1" \h \z \u </w:instrText>
      </w:r>
      <w:r>
        <w:fldChar w:fldCharType="separate"/>
      </w:r>
      <w:hyperlink w:anchor="_Toc177475839" w:history="1">
        <w:r w:rsidR="00812AA5" w:rsidRPr="00CA5948">
          <w:rPr>
            <w:rStyle w:val="Hyperlink"/>
          </w:rPr>
          <w:t>Do patients need to be registered with a GP in Scotland to access either EHC or Bridging Contraception services?</w:t>
        </w:r>
        <w:r w:rsidR="00812AA5">
          <w:rPr>
            <w:webHidden/>
          </w:rPr>
          <w:tab/>
        </w:r>
        <w:r w:rsidR="00812AA5">
          <w:rPr>
            <w:webHidden/>
          </w:rPr>
          <w:fldChar w:fldCharType="begin"/>
        </w:r>
        <w:r w:rsidR="00812AA5">
          <w:rPr>
            <w:webHidden/>
          </w:rPr>
          <w:instrText xml:space="preserve"> PAGEREF _Toc177475839 \h </w:instrText>
        </w:r>
        <w:r w:rsidR="00812AA5">
          <w:rPr>
            <w:webHidden/>
          </w:rPr>
        </w:r>
        <w:r w:rsidR="00812AA5">
          <w:rPr>
            <w:webHidden/>
          </w:rPr>
          <w:fldChar w:fldCharType="separate"/>
        </w:r>
        <w:r w:rsidR="00812AA5">
          <w:rPr>
            <w:webHidden/>
          </w:rPr>
          <w:t>4</w:t>
        </w:r>
        <w:r w:rsidR="00812AA5">
          <w:rPr>
            <w:webHidden/>
          </w:rPr>
          <w:fldChar w:fldCharType="end"/>
        </w:r>
      </w:hyperlink>
    </w:p>
    <w:p w14:paraId="62CB44DD" w14:textId="18B3E4D3" w:rsidR="00812AA5" w:rsidRDefault="001B1066">
      <w:pPr>
        <w:pStyle w:val="TOC1"/>
        <w:rPr>
          <w:rFonts w:asciiTheme="minorHAnsi" w:eastAsiaTheme="minorEastAsia" w:hAnsiTheme="minorHAnsi"/>
          <w:kern w:val="2"/>
          <w:szCs w:val="24"/>
          <w:lang w:eastAsia="en-GB"/>
          <w14:ligatures w14:val="standardContextual"/>
        </w:rPr>
      </w:pPr>
      <w:hyperlink w:anchor="_Toc177475840" w:history="1">
        <w:r w:rsidR="00812AA5" w:rsidRPr="00CA5948">
          <w:rPr>
            <w:rStyle w:val="Hyperlink"/>
          </w:rPr>
          <w:t>Which form of EC is most appropriate?</w:t>
        </w:r>
        <w:r w:rsidR="00812AA5">
          <w:rPr>
            <w:webHidden/>
          </w:rPr>
          <w:tab/>
        </w:r>
        <w:r w:rsidR="00812AA5">
          <w:rPr>
            <w:webHidden/>
          </w:rPr>
          <w:fldChar w:fldCharType="begin"/>
        </w:r>
        <w:r w:rsidR="00812AA5">
          <w:rPr>
            <w:webHidden/>
          </w:rPr>
          <w:instrText xml:space="preserve"> PAGEREF _Toc177475840 \h </w:instrText>
        </w:r>
        <w:r w:rsidR="00812AA5">
          <w:rPr>
            <w:webHidden/>
          </w:rPr>
        </w:r>
        <w:r w:rsidR="00812AA5">
          <w:rPr>
            <w:webHidden/>
          </w:rPr>
          <w:fldChar w:fldCharType="separate"/>
        </w:r>
        <w:r w:rsidR="00812AA5">
          <w:rPr>
            <w:webHidden/>
          </w:rPr>
          <w:t>4</w:t>
        </w:r>
        <w:r w:rsidR="00812AA5">
          <w:rPr>
            <w:webHidden/>
          </w:rPr>
          <w:fldChar w:fldCharType="end"/>
        </w:r>
      </w:hyperlink>
    </w:p>
    <w:p w14:paraId="2B1DB1F8" w14:textId="1DB5563F" w:rsidR="00812AA5" w:rsidRDefault="001B1066">
      <w:pPr>
        <w:pStyle w:val="TOC1"/>
        <w:rPr>
          <w:rFonts w:asciiTheme="minorHAnsi" w:eastAsiaTheme="minorEastAsia" w:hAnsiTheme="minorHAnsi"/>
          <w:kern w:val="2"/>
          <w:szCs w:val="24"/>
          <w:lang w:eastAsia="en-GB"/>
          <w14:ligatures w14:val="standardContextual"/>
        </w:rPr>
      </w:pPr>
      <w:hyperlink w:anchor="_Toc177475841" w:history="1">
        <w:r w:rsidR="00812AA5" w:rsidRPr="00CA5948">
          <w:rPr>
            <w:rStyle w:val="Hyperlink"/>
          </w:rPr>
          <w:t>What advice should be given if patient is likely to have already ovulated at time of UPSI?</w:t>
        </w:r>
        <w:r w:rsidR="00812AA5">
          <w:rPr>
            <w:webHidden/>
          </w:rPr>
          <w:tab/>
        </w:r>
        <w:r w:rsidR="00812AA5">
          <w:rPr>
            <w:webHidden/>
          </w:rPr>
          <w:fldChar w:fldCharType="begin"/>
        </w:r>
        <w:r w:rsidR="00812AA5">
          <w:rPr>
            <w:webHidden/>
          </w:rPr>
          <w:instrText xml:space="preserve"> PAGEREF _Toc177475841 \h </w:instrText>
        </w:r>
        <w:r w:rsidR="00812AA5">
          <w:rPr>
            <w:webHidden/>
          </w:rPr>
        </w:r>
        <w:r w:rsidR="00812AA5">
          <w:rPr>
            <w:webHidden/>
          </w:rPr>
          <w:fldChar w:fldCharType="separate"/>
        </w:r>
        <w:r w:rsidR="00812AA5">
          <w:rPr>
            <w:webHidden/>
          </w:rPr>
          <w:t>7</w:t>
        </w:r>
        <w:r w:rsidR="00812AA5">
          <w:rPr>
            <w:webHidden/>
          </w:rPr>
          <w:fldChar w:fldCharType="end"/>
        </w:r>
      </w:hyperlink>
    </w:p>
    <w:p w14:paraId="2D414F36" w14:textId="02A4FA21" w:rsidR="00812AA5" w:rsidRDefault="001B1066">
      <w:pPr>
        <w:pStyle w:val="TOC1"/>
        <w:rPr>
          <w:rFonts w:asciiTheme="minorHAnsi" w:eastAsiaTheme="minorEastAsia" w:hAnsiTheme="minorHAnsi"/>
          <w:kern w:val="2"/>
          <w:szCs w:val="24"/>
          <w:lang w:eastAsia="en-GB"/>
          <w14:ligatures w14:val="standardContextual"/>
        </w:rPr>
      </w:pPr>
      <w:hyperlink w:anchor="_Toc177475842" w:history="1">
        <w:r w:rsidR="00812AA5" w:rsidRPr="00CA5948">
          <w:rPr>
            <w:rStyle w:val="Hyperlink"/>
          </w:rPr>
          <w:t>What advice should be given to patients with a high Body Mass Index (BMI) regarding effectiveness of EC?</w:t>
        </w:r>
        <w:r w:rsidR="00812AA5">
          <w:rPr>
            <w:webHidden/>
          </w:rPr>
          <w:tab/>
        </w:r>
        <w:r w:rsidR="00812AA5">
          <w:rPr>
            <w:webHidden/>
          </w:rPr>
          <w:fldChar w:fldCharType="begin"/>
        </w:r>
        <w:r w:rsidR="00812AA5">
          <w:rPr>
            <w:webHidden/>
          </w:rPr>
          <w:instrText xml:space="preserve"> PAGEREF _Toc177475842 \h </w:instrText>
        </w:r>
        <w:r w:rsidR="00812AA5">
          <w:rPr>
            <w:webHidden/>
          </w:rPr>
        </w:r>
        <w:r w:rsidR="00812AA5">
          <w:rPr>
            <w:webHidden/>
          </w:rPr>
          <w:fldChar w:fldCharType="separate"/>
        </w:r>
        <w:r w:rsidR="00812AA5">
          <w:rPr>
            <w:webHidden/>
          </w:rPr>
          <w:t>7</w:t>
        </w:r>
        <w:r w:rsidR="00812AA5">
          <w:rPr>
            <w:webHidden/>
          </w:rPr>
          <w:fldChar w:fldCharType="end"/>
        </w:r>
      </w:hyperlink>
    </w:p>
    <w:p w14:paraId="3D889579" w14:textId="6162845A" w:rsidR="00812AA5" w:rsidRDefault="001B1066">
      <w:pPr>
        <w:pStyle w:val="TOC1"/>
        <w:rPr>
          <w:rFonts w:asciiTheme="minorHAnsi" w:eastAsiaTheme="minorEastAsia" w:hAnsiTheme="minorHAnsi"/>
          <w:kern w:val="2"/>
          <w:szCs w:val="24"/>
          <w:lang w:eastAsia="en-GB"/>
          <w14:ligatures w14:val="standardContextual"/>
        </w:rPr>
      </w:pPr>
      <w:hyperlink w:anchor="_Toc177475843" w:history="1">
        <w:r w:rsidR="00812AA5" w:rsidRPr="00CA5948">
          <w:rPr>
            <w:rStyle w:val="Hyperlink"/>
          </w:rPr>
          <w:t>Can the patient be offered UPA-EC if they have taken a progestogen in the last 7 days?</w:t>
        </w:r>
        <w:r w:rsidR="00812AA5">
          <w:rPr>
            <w:webHidden/>
          </w:rPr>
          <w:tab/>
        </w:r>
        <w:r w:rsidR="00812AA5">
          <w:rPr>
            <w:webHidden/>
          </w:rPr>
          <w:fldChar w:fldCharType="begin"/>
        </w:r>
        <w:r w:rsidR="00812AA5">
          <w:rPr>
            <w:webHidden/>
          </w:rPr>
          <w:instrText xml:space="preserve"> PAGEREF _Toc177475843 \h </w:instrText>
        </w:r>
        <w:r w:rsidR="00812AA5">
          <w:rPr>
            <w:webHidden/>
          </w:rPr>
        </w:r>
        <w:r w:rsidR="00812AA5">
          <w:rPr>
            <w:webHidden/>
          </w:rPr>
          <w:fldChar w:fldCharType="separate"/>
        </w:r>
        <w:r w:rsidR="00812AA5">
          <w:rPr>
            <w:webHidden/>
          </w:rPr>
          <w:t>8</w:t>
        </w:r>
        <w:r w:rsidR="00812AA5">
          <w:rPr>
            <w:webHidden/>
          </w:rPr>
          <w:fldChar w:fldCharType="end"/>
        </w:r>
      </w:hyperlink>
    </w:p>
    <w:p w14:paraId="3BDB080B" w14:textId="11C624C4" w:rsidR="00812AA5" w:rsidRDefault="001B1066">
      <w:pPr>
        <w:pStyle w:val="TOC1"/>
        <w:rPr>
          <w:rFonts w:asciiTheme="minorHAnsi" w:eastAsiaTheme="minorEastAsia" w:hAnsiTheme="minorHAnsi"/>
          <w:kern w:val="2"/>
          <w:szCs w:val="24"/>
          <w:lang w:eastAsia="en-GB"/>
          <w14:ligatures w14:val="standardContextual"/>
        </w:rPr>
      </w:pPr>
      <w:hyperlink w:anchor="_Toc177475844" w:history="1">
        <w:r w:rsidR="00812AA5" w:rsidRPr="00CA5948">
          <w:rPr>
            <w:rStyle w:val="Hyperlink"/>
          </w:rPr>
          <w:t>What advice should be given if the patient has already had UPSI/CF (with or without oral EC) within the current cycle?</w:t>
        </w:r>
        <w:r w:rsidR="00812AA5">
          <w:rPr>
            <w:webHidden/>
          </w:rPr>
          <w:tab/>
        </w:r>
        <w:r w:rsidR="00812AA5">
          <w:rPr>
            <w:webHidden/>
          </w:rPr>
          <w:fldChar w:fldCharType="begin"/>
        </w:r>
        <w:r w:rsidR="00812AA5">
          <w:rPr>
            <w:webHidden/>
          </w:rPr>
          <w:instrText xml:space="preserve"> PAGEREF _Toc177475844 \h </w:instrText>
        </w:r>
        <w:r w:rsidR="00812AA5">
          <w:rPr>
            <w:webHidden/>
          </w:rPr>
        </w:r>
        <w:r w:rsidR="00812AA5">
          <w:rPr>
            <w:webHidden/>
          </w:rPr>
          <w:fldChar w:fldCharType="separate"/>
        </w:r>
        <w:r w:rsidR="00812AA5">
          <w:rPr>
            <w:webHidden/>
          </w:rPr>
          <w:t>8</w:t>
        </w:r>
        <w:r w:rsidR="00812AA5">
          <w:rPr>
            <w:webHidden/>
          </w:rPr>
          <w:fldChar w:fldCharType="end"/>
        </w:r>
      </w:hyperlink>
    </w:p>
    <w:p w14:paraId="5CD0539A" w14:textId="09BF5716" w:rsidR="00812AA5" w:rsidRDefault="001B1066">
      <w:pPr>
        <w:pStyle w:val="TOC1"/>
        <w:rPr>
          <w:rFonts w:asciiTheme="minorHAnsi" w:eastAsiaTheme="minorEastAsia" w:hAnsiTheme="minorHAnsi"/>
          <w:kern w:val="2"/>
          <w:szCs w:val="24"/>
          <w:lang w:eastAsia="en-GB"/>
          <w14:ligatures w14:val="standardContextual"/>
        </w:rPr>
      </w:pPr>
      <w:hyperlink w:anchor="_Toc177475845" w:history="1">
        <w:r w:rsidR="00812AA5" w:rsidRPr="00CA5948">
          <w:rPr>
            <w:rStyle w:val="Hyperlink"/>
          </w:rPr>
          <w:t>What options are provided for patients with UPSI/CF more than 120 hours prior?</w:t>
        </w:r>
        <w:r w:rsidR="00812AA5">
          <w:rPr>
            <w:webHidden/>
          </w:rPr>
          <w:tab/>
        </w:r>
        <w:r w:rsidR="00812AA5">
          <w:rPr>
            <w:webHidden/>
          </w:rPr>
          <w:fldChar w:fldCharType="begin"/>
        </w:r>
        <w:r w:rsidR="00812AA5">
          <w:rPr>
            <w:webHidden/>
          </w:rPr>
          <w:instrText xml:space="preserve"> PAGEREF _Toc177475845 \h </w:instrText>
        </w:r>
        <w:r w:rsidR="00812AA5">
          <w:rPr>
            <w:webHidden/>
          </w:rPr>
        </w:r>
        <w:r w:rsidR="00812AA5">
          <w:rPr>
            <w:webHidden/>
          </w:rPr>
          <w:fldChar w:fldCharType="separate"/>
        </w:r>
        <w:r w:rsidR="00812AA5">
          <w:rPr>
            <w:webHidden/>
          </w:rPr>
          <w:t>9</w:t>
        </w:r>
        <w:r w:rsidR="00812AA5">
          <w:rPr>
            <w:webHidden/>
          </w:rPr>
          <w:fldChar w:fldCharType="end"/>
        </w:r>
      </w:hyperlink>
    </w:p>
    <w:p w14:paraId="3F243155" w14:textId="52919375" w:rsidR="00812AA5" w:rsidRDefault="001B1066">
      <w:pPr>
        <w:pStyle w:val="TOC1"/>
        <w:rPr>
          <w:rFonts w:asciiTheme="minorHAnsi" w:eastAsiaTheme="minorEastAsia" w:hAnsiTheme="minorHAnsi"/>
          <w:kern w:val="2"/>
          <w:szCs w:val="24"/>
          <w:lang w:eastAsia="en-GB"/>
          <w14:ligatures w14:val="standardContextual"/>
        </w:rPr>
      </w:pPr>
      <w:hyperlink w:anchor="_Toc177475846" w:history="1">
        <w:r w:rsidR="00812AA5" w:rsidRPr="00CA5948">
          <w:rPr>
            <w:rStyle w:val="Hyperlink"/>
          </w:rPr>
          <w:t>Why are patients who have given birth up to 3 weeks ago not suitable for oral EC?</w:t>
        </w:r>
        <w:r w:rsidR="00812AA5">
          <w:rPr>
            <w:webHidden/>
          </w:rPr>
          <w:tab/>
        </w:r>
        <w:r w:rsidR="00812AA5">
          <w:rPr>
            <w:webHidden/>
          </w:rPr>
          <w:fldChar w:fldCharType="begin"/>
        </w:r>
        <w:r w:rsidR="00812AA5">
          <w:rPr>
            <w:webHidden/>
          </w:rPr>
          <w:instrText xml:space="preserve"> PAGEREF _Toc177475846 \h </w:instrText>
        </w:r>
        <w:r w:rsidR="00812AA5">
          <w:rPr>
            <w:webHidden/>
          </w:rPr>
        </w:r>
        <w:r w:rsidR="00812AA5">
          <w:rPr>
            <w:webHidden/>
          </w:rPr>
          <w:fldChar w:fldCharType="separate"/>
        </w:r>
        <w:r w:rsidR="00812AA5">
          <w:rPr>
            <w:webHidden/>
          </w:rPr>
          <w:t>9</w:t>
        </w:r>
        <w:r w:rsidR="00812AA5">
          <w:rPr>
            <w:webHidden/>
          </w:rPr>
          <w:fldChar w:fldCharType="end"/>
        </w:r>
      </w:hyperlink>
    </w:p>
    <w:p w14:paraId="6A85636A" w14:textId="54D675B8" w:rsidR="00812AA5" w:rsidRDefault="001B1066">
      <w:pPr>
        <w:pStyle w:val="TOC1"/>
        <w:rPr>
          <w:rFonts w:asciiTheme="minorHAnsi" w:eastAsiaTheme="minorEastAsia" w:hAnsiTheme="minorHAnsi"/>
          <w:kern w:val="2"/>
          <w:szCs w:val="24"/>
          <w:lang w:eastAsia="en-GB"/>
          <w14:ligatures w14:val="standardContextual"/>
        </w:rPr>
      </w:pPr>
      <w:hyperlink w:anchor="_Toc177475847" w:history="1">
        <w:r w:rsidR="00812AA5" w:rsidRPr="00CA5948">
          <w:rPr>
            <w:rStyle w:val="Hyperlink"/>
          </w:rPr>
          <w:t>What advice should be given to breastfeeding mothers regarding oral EC?</w:t>
        </w:r>
        <w:r w:rsidR="00812AA5">
          <w:rPr>
            <w:webHidden/>
          </w:rPr>
          <w:tab/>
        </w:r>
        <w:r w:rsidR="00812AA5">
          <w:rPr>
            <w:webHidden/>
          </w:rPr>
          <w:fldChar w:fldCharType="begin"/>
        </w:r>
        <w:r w:rsidR="00812AA5">
          <w:rPr>
            <w:webHidden/>
          </w:rPr>
          <w:instrText xml:space="preserve"> PAGEREF _Toc177475847 \h </w:instrText>
        </w:r>
        <w:r w:rsidR="00812AA5">
          <w:rPr>
            <w:webHidden/>
          </w:rPr>
        </w:r>
        <w:r w:rsidR="00812AA5">
          <w:rPr>
            <w:webHidden/>
          </w:rPr>
          <w:fldChar w:fldCharType="separate"/>
        </w:r>
        <w:r w:rsidR="00812AA5">
          <w:rPr>
            <w:webHidden/>
          </w:rPr>
          <w:t>9</w:t>
        </w:r>
        <w:r w:rsidR="00812AA5">
          <w:rPr>
            <w:webHidden/>
          </w:rPr>
          <w:fldChar w:fldCharType="end"/>
        </w:r>
      </w:hyperlink>
    </w:p>
    <w:p w14:paraId="1A43DC09" w14:textId="309FF0E0" w:rsidR="00812AA5" w:rsidRDefault="001B1066">
      <w:pPr>
        <w:pStyle w:val="TOC1"/>
        <w:rPr>
          <w:rFonts w:asciiTheme="minorHAnsi" w:eastAsiaTheme="minorEastAsia" w:hAnsiTheme="minorHAnsi"/>
          <w:kern w:val="2"/>
          <w:szCs w:val="24"/>
          <w:lang w:eastAsia="en-GB"/>
          <w14:ligatures w14:val="standardContextual"/>
        </w:rPr>
      </w:pPr>
      <w:hyperlink w:anchor="_Toc177475848" w:history="1">
        <w:r w:rsidR="00812AA5" w:rsidRPr="00CA5948">
          <w:rPr>
            <w:rStyle w:val="Hyperlink"/>
          </w:rPr>
          <w:t>Does oral EC affect the ability to drive or operate machinery?</w:t>
        </w:r>
        <w:r w:rsidR="00812AA5">
          <w:rPr>
            <w:webHidden/>
          </w:rPr>
          <w:tab/>
        </w:r>
        <w:r w:rsidR="00812AA5">
          <w:rPr>
            <w:webHidden/>
          </w:rPr>
          <w:fldChar w:fldCharType="begin"/>
        </w:r>
        <w:r w:rsidR="00812AA5">
          <w:rPr>
            <w:webHidden/>
          </w:rPr>
          <w:instrText xml:space="preserve"> PAGEREF _Toc177475848 \h </w:instrText>
        </w:r>
        <w:r w:rsidR="00812AA5">
          <w:rPr>
            <w:webHidden/>
          </w:rPr>
        </w:r>
        <w:r w:rsidR="00812AA5">
          <w:rPr>
            <w:webHidden/>
          </w:rPr>
          <w:fldChar w:fldCharType="separate"/>
        </w:r>
        <w:r w:rsidR="00812AA5">
          <w:rPr>
            <w:webHidden/>
          </w:rPr>
          <w:t>9</w:t>
        </w:r>
        <w:r w:rsidR="00812AA5">
          <w:rPr>
            <w:webHidden/>
          </w:rPr>
          <w:fldChar w:fldCharType="end"/>
        </w:r>
      </w:hyperlink>
    </w:p>
    <w:p w14:paraId="385D08C8" w14:textId="22E6FDFA" w:rsidR="00812AA5" w:rsidRDefault="001B1066">
      <w:pPr>
        <w:pStyle w:val="TOC1"/>
        <w:rPr>
          <w:rFonts w:asciiTheme="minorHAnsi" w:eastAsiaTheme="minorEastAsia" w:hAnsiTheme="minorHAnsi"/>
          <w:kern w:val="2"/>
          <w:szCs w:val="24"/>
          <w:lang w:eastAsia="en-GB"/>
          <w14:ligatures w14:val="standardContextual"/>
        </w:rPr>
      </w:pPr>
      <w:hyperlink w:anchor="_Toc177475849" w:history="1">
        <w:r w:rsidR="00812AA5" w:rsidRPr="00CA5948">
          <w:rPr>
            <w:rStyle w:val="Hyperlink"/>
          </w:rPr>
          <w:t>Why is there a PGD for the supply of LNG-EC but not UPA-EC?</w:t>
        </w:r>
        <w:r w:rsidR="00812AA5">
          <w:rPr>
            <w:webHidden/>
          </w:rPr>
          <w:tab/>
        </w:r>
        <w:r w:rsidR="00812AA5">
          <w:rPr>
            <w:webHidden/>
          </w:rPr>
          <w:fldChar w:fldCharType="begin"/>
        </w:r>
        <w:r w:rsidR="00812AA5">
          <w:rPr>
            <w:webHidden/>
          </w:rPr>
          <w:instrText xml:space="preserve"> PAGEREF _Toc177475849 \h </w:instrText>
        </w:r>
        <w:r w:rsidR="00812AA5">
          <w:rPr>
            <w:webHidden/>
          </w:rPr>
        </w:r>
        <w:r w:rsidR="00812AA5">
          <w:rPr>
            <w:webHidden/>
          </w:rPr>
          <w:fldChar w:fldCharType="separate"/>
        </w:r>
        <w:r w:rsidR="00812AA5">
          <w:rPr>
            <w:webHidden/>
          </w:rPr>
          <w:t>10</w:t>
        </w:r>
        <w:r w:rsidR="00812AA5">
          <w:rPr>
            <w:webHidden/>
          </w:rPr>
          <w:fldChar w:fldCharType="end"/>
        </w:r>
      </w:hyperlink>
    </w:p>
    <w:p w14:paraId="6426AD62" w14:textId="0ED71688" w:rsidR="00812AA5" w:rsidRDefault="001B1066">
      <w:pPr>
        <w:pStyle w:val="TOC1"/>
        <w:rPr>
          <w:rFonts w:asciiTheme="minorHAnsi" w:eastAsiaTheme="minorEastAsia" w:hAnsiTheme="minorHAnsi"/>
          <w:kern w:val="2"/>
          <w:szCs w:val="24"/>
          <w:lang w:eastAsia="en-GB"/>
          <w14:ligatures w14:val="standardContextual"/>
        </w:rPr>
      </w:pPr>
      <w:hyperlink w:anchor="_Toc177475850" w:history="1">
        <w:r w:rsidR="00812AA5" w:rsidRPr="00CA5948">
          <w:rPr>
            <w:rStyle w:val="Hyperlink"/>
          </w:rPr>
          <w:t>How long should written records of EC consultations be kept for?</w:t>
        </w:r>
        <w:r w:rsidR="00812AA5">
          <w:rPr>
            <w:webHidden/>
          </w:rPr>
          <w:tab/>
        </w:r>
        <w:r w:rsidR="00812AA5">
          <w:rPr>
            <w:webHidden/>
          </w:rPr>
          <w:fldChar w:fldCharType="begin"/>
        </w:r>
        <w:r w:rsidR="00812AA5">
          <w:rPr>
            <w:webHidden/>
          </w:rPr>
          <w:instrText xml:space="preserve"> PAGEREF _Toc177475850 \h </w:instrText>
        </w:r>
        <w:r w:rsidR="00812AA5">
          <w:rPr>
            <w:webHidden/>
          </w:rPr>
        </w:r>
        <w:r w:rsidR="00812AA5">
          <w:rPr>
            <w:webHidden/>
          </w:rPr>
          <w:fldChar w:fldCharType="separate"/>
        </w:r>
        <w:r w:rsidR="00812AA5">
          <w:rPr>
            <w:webHidden/>
          </w:rPr>
          <w:t>10</w:t>
        </w:r>
        <w:r w:rsidR="00812AA5">
          <w:rPr>
            <w:webHidden/>
          </w:rPr>
          <w:fldChar w:fldCharType="end"/>
        </w:r>
      </w:hyperlink>
    </w:p>
    <w:p w14:paraId="3AD66271" w14:textId="690B485B" w:rsidR="00812AA5" w:rsidRDefault="001B1066">
      <w:pPr>
        <w:pStyle w:val="TOC1"/>
        <w:rPr>
          <w:rFonts w:asciiTheme="minorHAnsi" w:eastAsiaTheme="minorEastAsia" w:hAnsiTheme="minorHAnsi"/>
          <w:kern w:val="2"/>
          <w:szCs w:val="24"/>
          <w:lang w:eastAsia="en-GB"/>
          <w14:ligatures w14:val="standardContextual"/>
        </w:rPr>
      </w:pPr>
      <w:hyperlink w:anchor="_Toc177475851" w:history="1">
        <w:r w:rsidR="00812AA5" w:rsidRPr="00CA5948">
          <w:rPr>
            <w:rStyle w:val="Hyperlink"/>
          </w:rPr>
          <w:t>Are transgender patients eligible for EC?</w:t>
        </w:r>
        <w:r w:rsidR="00812AA5">
          <w:rPr>
            <w:webHidden/>
          </w:rPr>
          <w:tab/>
        </w:r>
        <w:r w:rsidR="00812AA5">
          <w:rPr>
            <w:webHidden/>
          </w:rPr>
          <w:fldChar w:fldCharType="begin"/>
        </w:r>
        <w:r w:rsidR="00812AA5">
          <w:rPr>
            <w:webHidden/>
          </w:rPr>
          <w:instrText xml:space="preserve"> PAGEREF _Toc177475851 \h </w:instrText>
        </w:r>
        <w:r w:rsidR="00812AA5">
          <w:rPr>
            <w:webHidden/>
          </w:rPr>
        </w:r>
        <w:r w:rsidR="00812AA5">
          <w:rPr>
            <w:webHidden/>
          </w:rPr>
          <w:fldChar w:fldCharType="separate"/>
        </w:r>
        <w:r w:rsidR="00812AA5">
          <w:rPr>
            <w:webHidden/>
          </w:rPr>
          <w:t>10</w:t>
        </w:r>
        <w:r w:rsidR="00812AA5">
          <w:rPr>
            <w:webHidden/>
          </w:rPr>
          <w:fldChar w:fldCharType="end"/>
        </w:r>
      </w:hyperlink>
    </w:p>
    <w:p w14:paraId="4D8B5AB9" w14:textId="40099386" w:rsidR="00812AA5" w:rsidRDefault="001B1066">
      <w:pPr>
        <w:pStyle w:val="TOC1"/>
        <w:rPr>
          <w:rFonts w:asciiTheme="minorHAnsi" w:eastAsiaTheme="minorEastAsia" w:hAnsiTheme="minorHAnsi"/>
          <w:kern w:val="2"/>
          <w:szCs w:val="24"/>
          <w:lang w:eastAsia="en-GB"/>
          <w14:ligatures w14:val="standardContextual"/>
        </w:rPr>
      </w:pPr>
      <w:hyperlink w:anchor="_Toc177475852" w:history="1">
        <w:r w:rsidR="00812AA5" w:rsidRPr="00CA5948">
          <w:rPr>
            <w:rStyle w:val="Hyperlink"/>
          </w:rPr>
          <w:t>When in the menstrual cycle can Bridging Contraception be started?</w:t>
        </w:r>
        <w:r w:rsidR="00812AA5">
          <w:rPr>
            <w:webHidden/>
          </w:rPr>
          <w:tab/>
        </w:r>
        <w:r w:rsidR="00812AA5">
          <w:rPr>
            <w:webHidden/>
          </w:rPr>
          <w:fldChar w:fldCharType="begin"/>
        </w:r>
        <w:r w:rsidR="00812AA5">
          <w:rPr>
            <w:webHidden/>
          </w:rPr>
          <w:instrText xml:space="preserve"> PAGEREF _Toc177475852 \h </w:instrText>
        </w:r>
        <w:r w:rsidR="00812AA5">
          <w:rPr>
            <w:webHidden/>
          </w:rPr>
        </w:r>
        <w:r w:rsidR="00812AA5">
          <w:rPr>
            <w:webHidden/>
          </w:rPr>
          <w:fldChar w:fldCharType="separate"/>
        </w:r>
        <w:r w:rsidR="00812AA5">
          <w:rPr>
            <w:webHidden/>
          </w:rPr>
          <w:t>11</w:t>
        </w:r>
        <w:r w:rsidR="00812AA5">
          <w:rPr>
            <w:webHidden/>
          </w:rPr>
          <w:fldChar w:fldCharType="end"/>
        </w:r>
      </w:hyperlink>
    </w:p>
    <w:p w14:paraId="76244498" w14:textId="18CD35FE" w:rsidR="00812AA5" w:rsidRDefault="001B1066">
      <w:pPr>
        <w:pStyle w:val="TOC1"/>
        <w:rPr>
          <w:rFonts w:asciiTheme="minorHAnsi" w:eastAsiaTheme="minorEastAsia" w:hAnsiTheme="minorHAnsi"/>
          <w:kern w:val="2"/>
          <w:szCs w:val="24"/>
          <w:lang w:eastAsia="en-GB"/>
          <w14:ligatures w14:val="standardContextual"/>
        </w:rPr>
      </w:pPr>
      <w:hyperlink w:anchor="_Toc177475853" w:history="1">
        <w:r w:rsidR="00812AA5" w:rsidRPr="00CA5948">
          <w:rPr>
            <w:rStyle w:val="Hyperlink"/>
          </w:rPr>
          <w:t>Which conditions are classed as UKMEC 3 or UKMEC 4?</w:t>
        </w:r>
        <w:r w:rsidR="00812AA5">
          <w:rPr>
            <w:webHidden/>
          </w:rPr>
          <w:tab/>
        </w:r>
        <w:r w:rsidR="00812AA5">
          <w:rPr>
            <w:webHidden/>
          </w:rPr>
          <w:fldChar w:fldCharType="begin"/>
        </w:r>
        <w:r w:rsidR="00812AA5">
          <w:rPr>
            <w:webHidden/>
          </w:rPr>
          <w:instrText xml:space="preserve"> PAGEREF _Toc177475853 \h </w:instrText>
        </w:r>
        <w:r w:rsidR="00812AA5">
          <w:rPr>
            <w:webHidden/>
          </w:rPr>
        </w:r>
        <w:r w:rsidR="00812AA5">
          <w:rPr>
            <w:webHidden/>
          </w:rPr>
          <w:fldChar w:fldCharType="separate"/>
        </w:r>
        <w:r w:rsidR="00812AA5">
          <w:rPr>
            <w:webHidden/>
          </w:rPr>
          <w:t>12</w:t>
        </w:r>
        <w:r w:rsidR="00812AA5">
          <w:rPr>
            <w:webHidden/>
          </w:rPr>
          <w:fldChar w:fldCharType="end"/>
        </w:r>
      </w:hyperlink>
    </w:p>
    <w:p w14:paraId="68686FCE" w14:textId="6557A81B" w:rsidR="00812AA5" w:rsidRDefault="001B1066">
      <w:pPr>
        <w:pStyle w:val="TOC1"/>
        <w:rPr>
          <w:rFonts w:asciiTheme="minorHAnsi" w:eastAsiaTheme="minorEastAsia" w:hAnsiTheme="minorHAnsi"/>
          <w:kern w:val="2"/>
          <w:szCs w:val="24"/>
          <w:lang w:eastAsia="en-GB"/>
          <w14:ligatures w14:val="standardContextual"/>
        </w:rPr>
      </w:pPr>
      <w:hyperlink w:anchor="_Toc177475854" w:history="1">
        <w:r w:rsidR="00812AA5" w:rsidRPr="00CA5948">
          <w:rPr>
            <w:rStyle w:val="Hyperlink"/>
          </w:rPr>
          <w:t>Which conditions are classed as UKMEC Category 2?</w:t>
        </w:r>
        <w:r w:rsidR="00812AA5">
          <w:rPr>
            <w:webHidden/>
          </w:rPr>
          <w:tab/>
        </w:r>
        <w:r w:rsidR="00812AA5">
          <w:rPr>
            <w:webHidden/>
          </w:rPr>
          <w:fldChar w:fldCharType="begin"/>
        </w:r>
        <w:r w:rsidR="00812AA5">
          <w:rPr>
            <w:webHidden/>
          </w:rPr>
          <w:instrText xml:space="preserve"> PAGEREF _Toc177475854 \h </w:instrText>
        </w:r>
        <w:r w:rsidR="00812AA5">
          <w:rPr>
            <w:webHidden/>
          </w:rPr>
        </w:r>
        <w:r w:rsidR="00812AA5">
          <w:rPr>
            <w:webHidden/>
          </w:rPr>
          <w:fldChar w:fldCharType="separate"/>
        </w:r>
        <w:r w:rsidR="00812AA5">
          <w:rPr>
            <w:webHidden/>
          </w:rPr>
          <w:t>13</w:t>
        </w:r>
        <w:r w:rsidR="00812AA5">
          <w:rPr>
            <w:webHidden/>
          </w:rPr>
          <w:fldChar w:fldCharType="end"/>
        </w:r>
      </w:hyperlink>
    </w:p>
    <w:p w14:paraId="099623F5" w14:textId="5EB25F97" w:rsidR="00812AA5" w:rsidRDefault="001B1066">
      <w:pPr>
        <w:pStyle w:val="TOC1"/>
        <w:rPr>
          <w:rFonts w:asciiTheme="minorHAnsi" w:eastAsiaTheme="minorEastAsia" w:hAnsiTheme="minorHAnsi"/>
          <w:kern w:val="2"/>
          <w:szCs w:val="24"/>
          <w:lang w:eastAsia="en-GB"/>
          <w14:ligatures w14:val="standardContextual"/>
        </w:rPr>
      </w:pPr>
      <w:hyperlink w:anchor="_Toc177475855" w:history="1">
        <w:r w:rsidR="00812AA5" w:rsidRPr="00CA5948">
          <w:rPr>
            <w:rStyle w:val="Hyperlink"/>
          </w:rPr>
          <w:t>When can a further 3 months of desogestrel be supplied to the same patient?</w:t>
        </w:r>
        <w:r w:rsidR="00812AA5">
          <w:rPr>
            <w:webHidden/>
          </w:rPr>
          <w:tab/>
        </w:r>
        <w:r w:rsidR="00812AA5">
          <w:rPr>
            <w:webHidden/>
          </w:rPr>
          <w:fldChar w:fldCharType="begin"/>
        </w:r>
        <w:r w:rsidR="00812AA5">
          <w:rPr>
            <w:webHidden/>
          </w:rPr>
          <w:instrText xml:space="preserve"> PAGEREF _Toc177475855 \h </w:instrText>
        </w:r>
        <w:r w:rsidR="00812AA5">
          <w:rPr>
            <w:webHidden/>
          </w:rPr>
        </w:r>
        <w:r w:rsidR="00812AA5">
          <w:rPr>
            <w:webHidden/>
          </w:rPr>
          <w:fldChar w:fldCharType="separate"/>
        </w:r>
        <w:r w:rsidR="00812AA5">
          <w:rPr>
            <w:webHidden/>
          </w:rPr>
          <w:t>13</w:t>
        </w:r>
        <w:r w:rsidR="00812AA5">
          <w:rPr>
            <w:webHidden/>
          </w:rPr>
          <w:fldChar w:fldCharType="end"/>
        </w:r>
      </w:hyperlink>
    </w:p>
    <w:p w14:paraId="5FEE139E" w14:textId="0A4654FE" w:rsidR="00812AA5" w:rsidRDefault="001B1066">
      <w:pPr>
        <w:pStyle w:val="TOC1"/>
        <w:rPr>
          <w:rFonts w:asciiTheme="minorHAnsi" w:eastAsiaTheme="minorEastAsia" w:hAnsiTheme="minorHAnsi"/>
          <w:kern w:val="2"/>
          <w:szCs w:val="24"/>
          <w:lang w:eastAsia="en-GB"/>
          <w14:ligatures w14:val="standardContextual"/>
        </w:rPr>
      </w:pPr>
      <w:hyperlink w:anchor="_Toc177475856" w:history="1">
        <w:r w:rsidR="00812AA5" w:rsidRPr="00CA5948">
          <w:rPr>
            <w:rStyle w:val="Hyperlink"/>
          </w:rPr>
          <w:t>What is “Quick starting” contraception?</w:t>
        </w:r>
        <w:r w:rsidR="00812AA5">
          <w:rPr>
            <w:webHidden/>
          </w:rPr>
          <w:tab/>
        </w:r>
        <w:r w:rsidR="00812AA5">
          <w:rPr>
            <w:webHidden/>
          </w:rPr>
          <w:fldChar w:fldCharType="begin"/>
        </w:r>
        <w:r w:rsidR="00812AA5">
          <w:rPr>
            <w:webHidden/>
          </w:rPr>
          <w:instrText xml:space="preserve"> PAGEREF _Toc177475856 \h </w:instrText>
        </w:r>
        <w:r w:rsidR="00812AA5">
          <w:rPr>
            <w:webHidden/>
          </w:rPr>
        </w:r>
        <w:r w:rsidR="00812AA5">
          <w:rPr>
            <w:webHidden/>
          </w:rPr>
          <w:fldChar w:fldCharType="separate"/>
        </w:r>
        <w:r w:rsidR="00812AA5">
          <w:rPr>
            <w:webHidden/>
          </w:rPr>
          <w:t>14</w:t>
        </w:r>
        <w:r w:rsidR="00812AA5">
          <w:rPr>
            <w:webHidden/>
          </w:rPr>
          <w:fldChar w:fldCharType="end"/>
        </w:r>
      </w:hyperlink>
    </w:p>
    <w:p w14:paraId="4B737548" w14:textId="5893BFBB" w:rsidR="00812AA5" w:rsidRDefault="001B1066">
      <w:pPr>
        <w:pStyle w:val="TOC1"/>
        <w:rPr>
          <w:rFonts w:asciiTheme="minorHAnsi" w:eastAsiaTheme="minorEastAsia" w:hAnsiTheme="minorHAnsi"/>
          <w:kern w:val="2"/>
          <w:szCs w:val="24"/>
          <w:lang w:eastAsia="en-GB"/>
          <w14:ligatures w14:val="standardContextual"/>
        </w:rPr>
      </w:pPr>
      <w:hyperlink w:anchor="_Toc177475857" w:history="1">
        <w:r w:rsidR="00812AA5" w:rsidRPr="00CA5948">
          <w:rPr>
            <w:rStyle w:val="Hyperlink"/>
          </w:rPr>
          <w:t>What is the role of the community pharmacy in supporting people who disclose they have experienced rape or sexual assault?</w:t>
        </w:r>
        <w:r w:rsidR="00812AA5">
          <w:rPr>
            <w:webHidden/>
          </w:rPr>
          <w:tab/>
        </w:r>
        <w:r w:rsidR="00812AA5">
          <w:rPr>
            <w:webHidden/>
          </w:rPr>
          <w:fldChar w:fldCharType="begin"/>
        </w:r>
        <w:r w:rsidR="00812AA5">
          <w:rPr>
            <w:webHidden/>
          </w:rPr>
          <w:instrText xml:space="preserve"> PAGEREF _Toc177475857 \h </w:instrText>
        </w:r>
        <w:r w:rsidR="00812AA5">
          <w:rPr>
            <w:webHidden/>
          </w:rPr>
        </w:r>
        <w:r w:rsidR="00812AA5">
          <w:rPr>
            <w:webHidden/>
          </w:rPr>
          <w:fldChar w:fldCharType="separate"/>
        </w:r>
        <w:r w:rsidR="00812AA5">
          <w:rPr>
            <w:webHidden/>
          </w:rPr>
          <w:t>15</w:t>
        </w:r>
        <w:r w:rsidR="00812AA5">
          <w:rPr>
            <w:webHidden/>
          </w:rPr>
          <w:fldChar w:fldCharType="end"/>
        </w:r>
      </w:hyperlink>
    </w:p>
    <w:p w14:paraId="27671FAD" w14:textId="06C364D7" w:rsidR="00812AA5" w:rsidRDefault="001B1066">
      <w:pPr>
        <w:pStyle w:val="TOC1"/>
        <w:rPr>
          <w:rFonts w:asciiTheme="minorHAnsi" w:eastAsiaTheme="minorEastAsia" w:hAnsiTheme="minorHAnsi"/>
          <w:kern w:val="2"/>
          <w:szCs w:val="24"/>
          <w:lang w:eastAsia="en-GB"/>
          <w14:ligatures w14:val="standardContextual"/>
        </w:rPr>
      </w:pPr>
      <w:hyperlink w:anchor="_Toc177475858" w:history="1">
        <w:r w:rsidR="00812AA5" w:rsidRPr="00CA5948">
          <w:rPr>
            <w:rStyle w:val="Hyperlink"/>
          </w:rPr>
          <w:t>What is routine enquiry?</w:t>
        </w:r>
        <w:r w:rsidR="00812AA5">
          <w:rPr>
            <w:webHidden/>
          </w:rPr>
          <w:tab/>
        </w:r>
        <w:r w:rsidR="00812AA5">
          <w:rPr>
            <w:webHidden/>
          </w:rPr>
          <w:fldChar w:fldCharType="begin"/>
        </w:r>
        <w:r w:rsidR="00812AA5">
          <w:rPr>
            <w:webHidden/>
          </w:rPr>
          <w:instrText xml:space="preserve"> PAGEREF _Toc177475858 \h </w:instrText>
        </w:r>
        <w:r w:rsidR="00812AA5">
          <w:rPr>
            <w:webHidden/>
          </w:rPr>
        </w:r>
        <w:r w:rsidR="00812AA5">
          <w:rPr>
            <w:webHidden/>
          </w:rPr>
          <w:fldChar w:fldCharType="separate"/>
        </w:r>
        <w:r w:rsidR="00812AA5">
          <w:rPr>
            <w:webHidden/>
          </w:rPr>
          <w:t>15</w:t>
        </w:r>
        <w:r w:rsidR="00812AA5">
          <w:rPr>
            <w:webHidden/>
          </w:rPr>
          <w:fldChar w:fldCharType="end"/>
        </w:r>
      </w:hyperlink>
    </w:p>
    <w:p w14:paraId="3A37057E" w14:textId="5E828B50" w:rsidR="00812AA5" w:rsidRDefault="001B1066">
      <w:pPr>
        <w:pStyle w:val="TOC1"/>
        <w:rPr>
          <w:rFonts w:asciiTheme="minorHAnsi" w:eastAsiaTheme="minorEastAsia" w:hAnsiTheme="minorHAnsi"/>
          <w:kern w:val="2"/>
          <w:szCs w:val="24"/>
          <w:lang w:eastAsia="en-GB"/>
          <w14:ligatures w14:val="standardContextual"/>
        </w:rPr>
      </w:pPr>
      <w:hyperlink w:anchor="_Toc177475859" w:history="1">
        <w:r w:rsidR="00812AA5" w:rsidRPr="00CA5948">
          <w:rPr>
            <w:rStyle w:val="Hyperlink"/>
          </w:rPr>
          <w:t>What do I do if someone discloses they have been raped or sexually assaulted during the EHC consultation?</w:t>
        </w:r>
        <w:r w:rsidR="00812AA5">
          <w:rPr>
            <w:webHidden/>
          </w:rPr>
          <w:tab/>
        </w:r>
        <w:r w:rsidR="00812AA5">
          <w:rPr>
            <w:webHidden/>
          </w:rPr>
          <w:fldChar w:fldCharType="begin"/>
        </w:r>
        <w:r w:rsidR="00812AA5">
          <w:rPr>
            <w:webHidden/>
          </w:rPr>
          <w:instrText xml:space="preserve"> PAGEREF _Toc177475859 \h </w:instrText>
        </w:r>
        <w:r w:rsidR="00812AA5">
          <w:rPr>
            <w:webHidden/>
          </w:rPr>
        </w:r>
        <w:r w:rsidR="00812AA5">
          <w:rPr>
            <w:webHidden/>
          </w:rPr>
          <w:fldChar w:fldCharType="separate"/>
        </w:r>
        <w:r w:rsidR="00812AA5">
          <w:rPr>
            <w:webHidden/>
          </w:rPr>
          <w:t>17</w:t>
        </w:r>
        <w:r w:rsidR="00812AA5">
          <w:rPr>
            <w:webHidden/>
          </w:rPr>
          <w:fldChar w:fldCharType="end"/>
        </w:r>
      </w:hyperlink>
    </w:p>
    <w:p w14:paraId="6BDA7DD9" w14:textId="3F8D8C7B" w:rsidR="00812AA5" w:rsidRDefault="001B1066">
      <w:pPr>
        <w:pStyle w:val="TOC1"/>
        <w:rPr>
          <w:rFonts w:asciiTheme="minorHAnsi" w:eastAsiaTheme="minorEastAsia" w:hAnsiTheme="minorHAnsi"/>
          <w:kern w:val="2"/>
          <w:szCs w:val="24"/>
          <w:lang w:eastAsia="en-GB"/>
          <w14:ligatures w14:val="standardContextual"/>
        </w:rPr>
      </w:pPr>
      <w:hyperlink w:anchor="_Toc177475860" w:history="1">
        <w:r w:rsidR="00812AA5" w:rsidRPr="00CA5948">
          <w:rPr>
            <w:rStyle w:val="Hyperlink"/>
          </w:rPr>
          <w:t>What is a Sexual Assault Response Coordination Service (SARCS)?</w:t>
        </w:r>
        <w:r w:rsidR="00812AA5">
          <w:rPr>
            <w:webHidden/>
          </w:rPr>
          <w:tab/>
        </w:r>
        <w:r w:rsidR="00812AA5">
          <w:rPr>
            <w:webHidden/>
          </w:rPr>
          <w:fldChar w:fldCharType="begin"/>
        </w:r>
        <w:r w:rsidR="00812AA5">
          <w:rPr>
            <w:webHidden/>
          </w:rPr>
          <w:instrText xml:space="preserve"> PAGEREF _Toc177475860 \h </w:instrText>
        </w:r>
        <w:r w:rsidR="00812AA5">
          <w:rPr>
            <w:webHidden/>
          </w:rPr>
        </w:r>
        <w:r w:rsidR="00812AA5">
          <w:rPr>
            <w:webHidden/>
          </w:rPr>
          <w:fldChar w:fldCharType="separate"/>
        </w:r>
        <w:r w:rsidR="00812AA5">
          <w:rPr>
            <w:webHidden/>
          </w:rPr>
          <w:t>17</w:t>
        </w:r>
        <w:r w:rsidR="00812AA5">
          <w:rPr>
            <w:webHidden/>
          </w:rPr>
          <w:fldChar w:fldCharType="end"/>
        </w:r>
      </w:hyperlink>
    </w:p>
    <w:p w14:paraId="381AEE2F" w14:textId="62BC6002" w:rsidR="00812AA5" w:rsidRDefault="001B1066">
      <w:pPr>
        <w:pStyle w:val="TOC1"/>
        <w:rPr>
          <w:rFonts w:asciiTheme="minorHAnsi" w:eastAsiaTheme="minorEastAsia" w:hAnsiTheme="minorHAnsi"/>
          <w:kern w:val="2"/>
          <w:szCs w:val="24"/>
          <w:lang w:eastAsia="en-GB"/>
          <w14:ligatures w14:val="standardContextual"/>
        </w:rPr>
      </w:pPr>
      <w:hyperlink w:anchor="_Toc177475861" w:history="1">
        <w:r w:rsidR="00812AA5" w:rsidRPr="00CA5948">
          <w:rPr>
            <w:rStyle w:val="Hyperlink"/>
          </w:rPr>
          <w:t>Are there leaflets available to give patients?</w:t>
        </w:r>
        <w:r w:rsidR="00812AA5">
          <w:rPr>
            <w:webHidden/>
          </w:rPr>
          <w:tab/>
        </w:r>
        <w:r w:rsidR="00812AA5">
          <w:rPr>
            <w:webHidden/>
          </w:rPr>
          <w:fldChar w:fldCharType="begin"/>
        </w:r>
        <w:r w:rsidR="00812AA5">
          <w:rPr>
            <w:webHidden/>
          </w:rPr>
          <w:instrText xml:space="preserve"> PAGEREF _Toc177475861 \h </w:instrText>
        </w:r>
        <w:r w:rsidR="00812AA5">
          <w:rPr>
            <w:webHidden/>
          </w:rPr>
        </w:r>
        <w:r w:rsidR="00812AA5">
          <w:rPr>
            <w:webHidden/>
          </w:rPr>
          <w:fldChar w:fldCharType="separate"/>
        </w:r>
        <w:r w:rsidR="00812AA5">
          <w:rPr>
            <w:webHidden/>
          </w:rPr>
          <w:t>19</w:t>
        </w:r>
        <w:r w:rsidR="00812AA5">
          <w:rPr>
            <w:webHidden/>
          </w:rPr>
          <w:fldChar w:fldCharType="end"/>
        </w:r>
      </w:hyperlink>
    </w:p>
    <w:p w14:paraId="7C3060C1" w14:textId="0FDD4646" w:rsidR="00812AA5" w:rsidRDefault="001B1066">
      <w:pPr>
        <w:pStyle w:val="TOC1"/>
        <w:rPr>
          <w:rFonts w:asciiTheme="minorHAnsi" w:eastAsiaTheme="minorEastAsia" w:hAnsiTheme="minorHAnsi"/>
          <w:kern w:val="2"/>
          <w:szCs w:val="24"/>
          <w:lang w:eastAsia="en-GB"/>
          <w14:ligatures w14:val="standardContextual"/>
        </w:rPr>
      </w:pPr>
      <w:hyperlink w:anchor="_Toc177475862" w:history="1">
        <w:r w:rsidR="00812AA5" w:rsidRPr="00CA5948">
          <w:rPr>
            <w:rStyle w:val="Hyperlink"/>
          </w:rPr>
          <w:t>How do I claim for EHC or Bridging Contraception services?</w:t>
        </w:r>
        <w:r w:rsidR="00812AA5">
          <w:rPr>
            <w:webHidden/>
          </w:rPr>
          <w:tab/>
        </w:r>
        <w:r w:rsidR="00812AA5">
          <w:rPr>
            <w:webHidden/>
          </w:rPr>
          <w:fldChar w:fldCharType="begin"/>
        </w:r>
        <w:r w:rsidR="00812AA5">
          <w:rPr>
            <w:webHidden/>
          </w:rPr>
          <w:instrText xml:space="preserve"> PAGEREF _Toc177475862 \h </w:instrText>
        </w:r>
        <w:r w:rsidR="00812AA5">
          <w:rPr>
            <w:webHidden/>
          </w:rPr>
        </w:r>
        <w:r w:rsidR="00812AA5">
          <w:rPr>
            <w:webHidden/>
          </w:rPr>
          <w:fldChar w:fldCharType="separate"/>
        </w:r>
        <w:r w:rsidR="00812AA5">
          <w:rPr>
            <w:webHidden/>
          </w:rPr>
          <w:t>20</w:t>
        </w:r>
        <w:r w:rsidR="00812AA5">
          <w:rPr>
            <w:webHidden/>
          </w:rPr>
          <w:fldChar w:fldCharType="end"/>
        </w:r>
      </w:hyperlink>
    </w:p>
    <w:p w14:paraId="66FCCA97" w14:textId="682BF2A3" w:rsidR="00812AA5" w:rsidRDefault="001B1066">
      <w:pPr>
        <w:pStyle w:val="TOC1"/>
        <w:rPr>
          <w:rFonts w:asciiTheme="minorHAnsi" w:eastAsiaTheme="minorEastAsia" w:hAnsiTheme="minorHAnsi"/>
          <w:kern w:val="2"/>
          <w:szCs w:val="24"/>
          <w:lang w:eastAsia="en-GB"/>
          <w14:ligatures w14:val="standardContextual"/>
        </w:rPr>
      </w:pPr>
      <w:hyperlink w:anchor="_Toc177475863" w:history="1">
        <w:r w:rsidR="00812AA5" w:rsidRPr="00CA5948">
          <w:rPr>
            <w:rStyle w:val="Hyperlink"/>
          </w:rPr>
          <w:t>Flowchart for Emergency Contraception (EC)</w:t>
        </w:r>
        <w:r w:rsidR="00812AA5">
          <w:rPr>
            <w:webHidden/>
          </w:rPr>
          <w:tab/>
        </w:r>
        <w:r w:rsidR="00812AA5">
          <w:rPr>
            <w:webHidden/>
          </w:rPr>
          <w:fldChar w:fldCharType="begin"/>
        </w:r>
        <w:r w:rsidR="00812AA5">
          <w:rPr>
            <w:webHidden/>
          </w:rPr>
          <w:instrText xml:space="preserve"> PAGEREF _Toc177475863 \h </w:instrText>
        </w:r>
        <w:r w:rsidR="00812AA5">
          <w:rPr>
            <w:webHidden/>
          </w:rPr>
        </w:r>
        <w:r w:rsidR="00812AA5">
          <w:rPr>
            <w:webHidden/>
          </w:rPr>
          <w:fldChar w:fldCharType="separate"/>
        </w:r>
        <w:r w:rsidR="00812AA5">
          <w:rPr>
            <w:webHidden/>
          </w:rPr>
          <w:t>21</w:t>
        </w:r>
        <w:r w:rsidR="00812AA5">
          <w:rPr>
            <w:webHidden/>
          </w:rPr>
          <w:fldChar w:fldCharType="end"/>
        </w:r>
      </w:hyperlink>
    </w:p>
    <w:p w14:paraId="3CD1471D" w14:textId="0AF4F413" w:rsidR="002B7928" w:rsidRPr="003025D4" w:rsidRDefault="00226EA0">
      <w:pPr>
        <w:rPr>
          <w:rFonts w:eastAsiaTheme="majorEastAsia" w:cstheme="majorBidi"/>
          <w:b/>
          <w:color w:val="415D13" w:themeColor="accent2" w:themeShade="80"/>
          <w:sz w:val="36"/>
          <w:szCs w:val="36"/>
        </w:rPr>
      </w:pPr>
      <w:r>
        <w:rPr>
          <w:noProof/>
        </w:rPr>
        <w:fldChar w:fldCharType="end"/>
      </w:r>
      <w:r>
        <w:rPr>
          <w:color w:val="415D13" w:themeColor="accent2" w:themeShade="80"/>
        </w:rPr>
        <w:br w:type="page"/>
      </w:r>
    </w:p>
    <w:p w14:paraId="7BFFEA03" w14:textId="77777777" w:rsidR="0077454B" w:rsidRDefault="0077454B" w:rsidP="0077454B">
      <w:pPr>
        <w:pStyle w:val="Heading1"/>
        <w:rPr>
          <w:color w:val="415D13" w:themeColor="accent2" w:themeShade="80"/>
          <w:sz w:val="24"/>
          <w:szCs w:val="24"/>
        </w:rPr>
      </w:pPr>
      <w:bookmarkStart w:id="3" w:name="_Toc177475839"/>
      <w:r>
        <w:rPr>
          <w:color w:val="415D13" w:themeColor="accent2" w:themeShade="80"/>
          <w:sz w:val="24"/>
          <w:szCs w:val="24"/>
        </w:rPr>
        <w:lastRenderedPageBreak/>
        <w:t>Do patients need to be registered with a GP in Scotland to access either EHC or Bridging Contraception services?</w:t>
      </w:r>
      <w:bookmarkEnd w:id="3"/>
    </w:p>
    <w:p w14:paraId="23C15D3E" w14:textId="056C39EC" w:rsidR="0077454B" w:rsidRDefault="0077454B" w:rsidP="0077454B">
      <w:r>
        <w:t xml:space="preserve">EHC – </w:t>
      </w:r>
      <w:r w:rsidR="004755D1">
        <w:t>Eligibility for accessing EHC has not changed as part of th</w:t>
      </w:r>
      <w:r w:rsidR="001A4CE3">
        <w:t xml:space="preserve">e recent </w:t>
      </w:r>
      <w:r w:rsidR="004755D1">
        <w:t>review: r</w:t>
      </w:r>
      <w:r>
        <w:t>egistration with a GP practice in Scotland is not essential to access this service</w:t>
      </w:r>
      <w:r w:rsidR="004755D1">
        <w:t>.</w:t>
      </w:r>
    </w:p>
    <w:p w14:paraId="4D66CE29" w14:textId="183D8FA5" w:rsidR="0077454B" w:rsidRPr="0077454B" w:rsidRDefault="0077454B" w:rsidP="0077454B">
      <w:r>
        <w:t xml:space="preserve">BC – Eligibility for accessing bridging contraception has been extended to mirror eligibility for NHS Pharmacy First Scotland – </w:t>
      </w:r>
      <w:r w:rsidR="000D760F">
        <w:t xml:space="preserve">it </w:t>
      </w:r>
      <w:r>
        <w:t>now includes all</w:t>
      </w:r>
      <w:r w:rsidR="000D760F">
        <w:t xml:space="preserve"> patients</w:t>
      </w:r>
      <w:r>
        <w:t xml:space="preserve"> registered with a GP practice in Scotland or Defence Medical Services (on a permanent or temporary basis), or living in Scotland (including gypsy travellers or asylum seeker/dependent of an asylum seeker).  </w:t>
      </w:r>
      <w:r w:rsidRPr="001B2BCA">
        <w:rPr>
          <w:u w:val="single"/>
        </w:rPr>
        <w:t>Visitors to Scotland are excluded</w:t>
      </w:r>
      <w:r>
        <w:t>.</w:t>
      </w:r>
    </w:p>
    <w:p w14:paraId="07482E78" w14:textId="25767B59" w:rsidR="00D06265" w:rsidRPr="00FA374F" w:rsidRDefault="00E456D0" w:rsidP="00FA374F">
      <w:pPr>
        <w:pStyle w:val="Heading1"/>
        <w:rPr>
          <w:color w:val="415D13" w:themeColor="accent2" w:themeShade="80"/>
          <w:sz w:val="24"/>
          <w:szCs w:val="24"/>
        </w:rPr>
      </w:pPr>
      <w:bookmarkStart w:id="4" w:name="_Toc177475840"/>
      <w:r w:rsidRPr="00FA374F">
        <w:rPr>
          <w:color w:val="415D13" w:themeColor="accent2" w:themeShade="80"/>
          <w:sz w:val="24"/>
          <w:szCs w:val="24"/>
        </w:rPr>
        <w:t xml:space="preserve">Which </w:t>
      </w:r>
      <w:r w:rsidR="008047D5" w:rsidRPr="00FA374F">
        <w:rPr>
          <w:color w:val="415D13" w:themeColor="accent2" w:themeShade="80"/>
          <w:sz w:val="24"/>
          <w:szCs w:val="24"/>
        </w:rPr>
        <w:t>form of EC is most appropriate?</w:t>
      </w:r>
      <w:bookmarkEnd w:id="4"/>
    </w:p>
    <w:p w14:paraId="4CCE0211" w14:textId="2549E259" w:rsidR="00D06265" w:rsidRDefault="006052FF" w:rsidP="008C552F">
      <w:r>
        <w:t xml:space="preserve">The tables below give an indication of </w:t>
      </w:r>
      <w:r w:rsidR="00063F05">
        <w:t xml:space="preserve">when ovulation is likely to occur in relation to </w:t>
      </w:r>
      <w:r w:rsidR="00A64AC6">
        <w:t xml:space="preserve">the length of the menstrual </w:t>
      </w:r>
      <w:r w:rsidR="00063F05">
        <w:t>cycle</w:t>
      </w:r>
      <w:r w:rsidR="00A64AC6">
        <w:t>.</w:t>
      </w:r>
      <w:r w:rsidR="00AB4A04">
        <w:t xml:space="preserve"> </w:t>
      </w:r>
    </w:p>
    <w:p w14:paraId="69E0D642" w14:textId="772B62AB" w:rsidR="0076310F" w:rsidRDefault="007816F6" w:rsidP="008C552F">
      <w:r w:rsidRPr="007816F6">
        <w:rPr>
          <w:noProof/>
          <w:lang w:eastAsia="en-GB"/>
        </w:rPr>
        <w:drawing>
          <wp:inline distT="0" distB="0" distL="0" distR="0" wp14:anchorId="69A76CD0" wp14:editId="010920BD">
            <wp:extent cx="5334000" cy="3258965"/>
            <wp:effectExtent l="0" t="0" r="0" b="0"/>
            <wp:docPr id="152941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58288" cy="3273805"/>
                    </a:xfrm>
                    <a:prstGeom prst="rect">
                      <a:avLst/>
                    </a:prstGeom>
                    <a:noFill/>
                    <a:ln>
                      <a:noFill/>
                    </a:ln>
                  </pic:spPr>
                </pic:pic>
              </a:graphicData>
            </a:graphic>
          </wp:inline>
        </w:drawing>
      </w:r>
    </w:p>
    <w:p w14:paraId="44DB171B" w14:textId="77AD9F16" w:rsidR="00814602" w:rsidRPr="0040402D" w:rsidRDefault="00C3524F">
      <w:r>
        <w:rPr>
          <w:noProof/>
          <w:lang w:eastAsia="en-GB"/>
        </w:rPr>
        <w:lastRenderedPageBreak/>
        <w:drawing>
          <wp:inline distT="0" distB="0" distL="0" distR="0" wp14:anchorId="6E6B266E" wp14:editId="743EE706">
            <wp:extent cx="5391150" cy="2808510"/>
            <wp:effectExtent l="0" t="0" r="0" b="0"/>
            <wp:docPr id="19984307" name="Picture 4" descr="A screenshot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4307" name="Picture 4" descr="A screenshot of a 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403570" cy="2814980"/>
                    </a:xfrm>
                    <a:prstGeom prst="rect">
                      <a:avLst/>
                    </a:prstGeom>
                  </pic:spPr>
                </pic:pic>
              </a:graphicData>
            </a:graphic>
          </wp:inline>
        </w:drawing>
      </w:r>
    </w:p>
    <w:p w14:paraId="1BC81AE7" w14:textId="16891965" w:rsidR="00886A90" w:rsidRPr="000F3F95" w:rsidRDefault="00A64AC6" w:rsidP="00157283">
      <w:r w:rsidRPr="000F3F95">
        <w:t>Patients should be advised that C</w:t>
      </w:r>
      <w:r w:rsidR="005550E1" w:rsidRPr="000F3F95">
        <w:t>u</w:t>
      </w:r>
      <w:r w:rsidRPr="000F3F95">
        <w:t>-IUD is the most effective method of EC</w:t>
      </w:r>
      <w:r w:rsidR="00814602" w:rsidRPr="000F3F95">
        <w:t>.</w:t>
      </w:r>
      <w:r w:rsidR="001772BA" w:rsidRPr="000F3F95">
        <w:t xml:space="preserve">  </w:t>
      </w:r>
    </w:p>
    <w:p w14:paraId="05B2A59F" w14:textId="6A62DF3F" w:rsidR="000A2BF8" w:rsidRDefault="000A2BF8" w:rsidP="000A2BF8">
      <w:pPr>
        <w:pStyle w:val="ListParagraph"/>
        <w:numPr>
          <w:ilvl w:val="0"/>
          <w:numId w:val="28"/>
        </w:numPr>
      </w:pPr>
      <w:r w:rsidRPr="00AB55A2">
        <w:t xml:space="preserve">It may also be appropriate to provide oral EC as immediate treatment as well as </w:t>
      </w:r>
      <w:r w:rsidR="005550E1" w:rsidRPr="00AB55A2">
        <w:t xml:space="preserve">referring the patient for Cu-IUD, in case </w:t>
      </w:r>
      <w:r w:rsidR="00AB55A2" w:rsidRPr="00AB55A2">
        <w:t>it is not possible to access this service in the required time frame.</w:t>
      </w:r>
    </w:p>
    <w:p w14:paraId="68F7325D" w14:textId="13BF95EC" w:rsidR="00A018E6" w:rsidRDefault="00BF19E1" w:rsidP="00250891">
      <w:pPr>
        <w:pStyle w:val="ListParagraph"/>
        <w:numPr>
          <w:ilvl w:val="0"/>
          <w:numId w:val="28"/>
        </w:numPr>
      </w:pPr>
      <w:r>
        <w:t>If Cu-IUD is not appropriate or acceptable, patients should be advised that oral EC should be taken as soon as possible if there has been UPSI within the last 5 days.</w:t>
      </w:r>
    </w:p>
    <w:p w14:paraId="4DB4632E" w14:textId="33BC1522" w:rsidR="008D1620" w:rsidRPr="003E1276" w:rsidRDefault="006974DE" w:rsidP="003E1276">
      <w:pPr>
        <w:pStyle w:val="ListParagraph"/>
        <w:numPr>
          <w:ilvl w:val="0"/>
          <w:numId w:val="28"/>
        </w:numPr>
        <w:rPr>
          <w:b/>
          <w:bCs/>
        </w:rPr>
      </w:pPr>
      <w:r>
        <w:t xml:space="preserve">Patients should be advised that evidence suggests that </w:t>
      </w:r>
      <w:r w:rsidRPr="006974DE">
        <w:rPr>
          <w:b/>
          <w:bCs/>
        </w:rPr>
        <w:t>UPA-EC and LNG-EC are unlikely to be effective if ovulation has already occurred.</w:t>
      </w:r>
    </w:p>
    <w:p w14:paraId="7EC3A688" w14:textId="67A3C5BD" w:rsidR="00886A90" w:rsidRDefault="00BA23D2">
      <w:r w:rsidRPr="00BA23D2">
        <w:t>UPA-EC</w:t>
      </w:r>
      <w:r>
        <w:t xml:space="preserve"> </w:t>
      </w:r>
      <w:r w:rsidR="006C2CBD">
        <w:t>is the most effective oral EC and should be considered as first line treatment</w:t>
      </w:r>
      <w:r w:rsidR="002E6410">
        <w:t>, unless there are any contraindicating factors.</w:t>
      </w:r>
      <w:r w:rsidR="00A03F1B">
        <w:t xml:space="preserve">  It is licensed for use up to 120 hours post-UPSI.</w:t>
      </w:r>
    </w:p>
    <w:p w14:paraId="0898E4AF" w14:textId="1F060BBB" w:rsidR="002B26FB" w:rsidRDefault="0094670A">
      <w:r>
        <w:t>LNG-EC may be considered first line if</w:t>
      </w:r>
      <w:r w:rsidR="00B04CB9">
        <w:t xml:space="preserve"> UPSI is unlikely to have occurred in a fertile period and quick starting of ongoing contraception is planned</w:t>
      </w:r>
      <w:r w:rsidR="006F54D4">
        <w:t>, patients</w:t>
      </w:r>
      <w:r w:rsidR="00EB0DCB">
        <w:t xml:space="preserve"> with severe asthma managed by oral corticosteroids (</w:t>
      </w:r>
      <w:r w:rsidR="005D378B">
        <w:t xml:space="preserve">UPA-EC is contraindicated in the circumstance), or </w:t>
      </w:r>
      <w:r w:rsidR="00B81CBB">
        <w:t>a patient has recently taken a progestogen (e.g. missed pill).</w:t>
      </w:r>
      <w:r w:rsidR="008D1620">
        <w:t xml:space="preserve">  It is licensed for use up to 72 hours post-UPSI</w:t>
      </w:r>
      <w:r w:rsidR="00EB7499">
        <w:t>.</w:t>
      </w:r>
    </w:p>
    <w:tbl>
      <w:tblPr>
        <w:tblStyle w:val="TableGrid"/>
        <w:tblW w:w="0" w:type="auto"/>
        <w:tblLook w:val="04A0" w:firstRow="1" w:lastRow="0" w:firstColumn="1" w:lastColumn="0" w:noHBand="0" w:noVBand="1"/>
      </w:tblPr>
      <w:tblGrid>
        <w:gridCol w:w="4424"/>
        <w:gridCol w:w="2167"/>
        <w:gridCol w:w="2469"/>
      </w:tblGrid>
      <w:tr w:rsidR="000477B8" w14:paraId="62D5447E" w14:textId="77777777" w:rsidTr="000A57CE">
        <w:trPr>
          <w:cnfStyle w:val="100000000000" w:firstRow="1" w:lastRow="0" w:firstColumn="0" w:lastColumn="0" w:oddVBand="0" w:evenVBand="0" w:oddHBand="0" w:evenHBand="0" w:firstRowFirstColumn="0" w:firstRowLastColumn="0" w:lastRowFirstColumn="0" w:lastRowLastColumn="0"/>
        </w:trPr>
        <w:tc>
          <w:tcPr>
            <w:tcW w:w="10456" w:type="dxa"/>
            <w:gridSpan w:val="3"/>
            <w:shd w:val="clear" w:color="auto" w:fill="415D13" w:themeFill="accent2" w:themeFillShade="80"/>
          </w:tcPr>
          <w:p w14:paraId="5FE1570C" w14:textId="77777777" w:rsidR="000477B8" w:rsidRPr="002423BA" w:rsidRDefault="000477B8" w:rsidP="000A57CE">
            <w:pPr>
              <w:rPr>
                <w:b/>
                <w:bCs/>
                <w:sz w:val="20"/>
              </w:rPr>
            </w:pPr>
            <w:r w:rsidRPr="002423BA">
              <w:rPr>
                <w:b/>
                <w:bCs/>
                <w:sz w:val="20"/>
              </w:rPr>
              <w:lastRenderedPageBreak/>
              <w:t>Comparative estimated efficacy of emergency contraceptive (EC) methods</w:t>
            </w:r>
          </w:p>
        </w:tc>
      </w:tr>
      <w:tr w:rsidR="000477B8" w14:paraId="492F1292" w14:textId="77777777" w:rsidTr="000A57CE">
        <w:tc>
          <w:tcPr>
            <w:tcW w:w="5228" w:type="dxa"/>
          </w:tcPr>
          <w:p w14:paraId="2AB18D83" w14:textId="77777777" w:rsidR="000477B8" w:rsidRDefault="000477B8" w:rsidP="000A57CE">
            <w:pPr>
              <w:pStyle w:val="Default"/>
              <w:rPr>
                <w:sz w:val="20"/>
              </w:rPr>
            </w:pPr>
            <w:r>
              <w:rPr>
                <w:b/>
                <w:bCs/>
                <w:sz w:val="20"/>
                <w:szCs w:val="20"/>
              </w:rPr>
              <w:t xml:space="preserve">If 100 women have one episode of unprotected sex </w:t>
            </w:r>
          </w:p>
        </w:tc>
        <w:tc>
          <w:tcPr>
            <w:tcW w:w="2422" w:type="dxa"/>
          </w:tcPr>
          <w:p w14:paraId="788E981A" w14:textId="77777777" w:rsidR="000477B8" w:rsidRPr="00C53903" w:rsidRDefault="000477B8" w:rsidP="000A57CE">
            <w:pPr>
              <w:rPr>
                <w:b/>
                <w:bCs/>
                <w:sz w:val="20"/>
              </w:rPr>
            </w:pPr>
            <w:r w:rsidRPr="00C53903">
              <w:rPr>
                <w:b/>
                <w:bCs/>
                <w:sz w:val="20"/>
              </w:rPr>
              <w:t>Days 9 – 18 of cycle</w:t>
            </w:r>
          </w:p>
        </w:tc>
        <w:tc>
          <w:tcPr>
            <w:tcW w:w="2806" w:type="dxa"/>
          </w:tcPr>
          <w:p w14:paraId="116E2285" w14:textId="77777777" w:rsidR="000477B8" w:rsidRPr="00C53903" w:rsidRDefault="000477B8" w:rsidP="000A57CE">
            <w:pPr>
              <w:rPr>
                <w:b/>
                <w:bCs/>
                <w:sz w:val="20"/>
              </w:rPr>
            </w:pPr>
            <w:r w:rsidRPr="00C53903">
              <w:rPr>
                <w:b/>
                <w:bCs/>
                <w:sz w:val="20"/>
              </w:rPr>
              <w:t>Days 1-8 or 19-28 of cycle</w:t>
            </w:r>
          </w:p>
        </w:tc>
      </w:tr>
      <w:tr w:rsidR="000477B8" w14:paraId="0CDE4C9B" w14:textId="77777777" w:rsidTr="000A57CE">
        <w:tc>
          <w:tcPr>
            <w:tcW w:w="5228" w:type="dxa"/>
          </w:tcPr>
          <w:p w14:paraId="2DE8451B" w14:textId="77777777" w:rsidR="000477B8" w:rsidRDefault="000477B8" w:rsidP="000A57CE">
            <w:pPr>
              <w:rPr>
                <w:sz w:val="20"/>
              </w:rPr>
            </w:pPr>
            <w:r>
              <w:rPr>
                <w:sz w:val="20"/>
              </w:rPr>
              <w:t>Number of pregnancies if no EC used</w:t>
            </w:r>
          </w:p>
        </w:tc>
        <w:tc>
          <w:tcPr>
            <w:tcW w:w="2422" w:type="dxa"/>
          </w:tcPr>
          <w:p w14:paraId="42AFDD06" w14:textId="77777777" w:rsidR="000477B8" w:rsidRDefault="000477B8" w:rsidP="000A57CE">
            <w:pPr>
              <w:rPr>
                <w:sz w:val="20"/>
              </w:rPr>
            </w:pPr>
            <w:r>
              <w:rPr>
                <w:sz w:val="20"/>
              </w:rPr>
              <w:t>20 – 30 pregnancies</w:t>
            </w:r>
          </w:p>
        </w:tc>
        <w:tc>
          <w:tcPr>
            <w:tcW w:w="2806" w:type="dxa"/>
          </w:tcPr>
          <w:p w14:paraId="6FBEFC34" w14:textId="77777777" w:rsidR="000477B8" w:rsidRDefault="000477B8" w:rsidP="000A57CE">
            <w:pPr>
              <w:rPr>
                <w:sz w:val="20"/>
              </w:rPr>
            </w:pPr>
            <w:r>
              <w:rPr>
                <w:sz w:val="20"/>
              </w:rPr>
              <w:t>2-3 pregnancies</w:t>
            </w:r>
          </w:p>
        </w:tc>
      </w:tr>
      <w:tr w:rsidR="000477B8" w14:paraId="482C76B1" w14:textId="77777777" w:rsidTr="000A57CE">
        <w:tc>
          <w:tcPr>
            <w:tcW w:w="5228" w:type="dxa"/>
          </w:tcPr>
          <w:p w14:paraId="472D9792" w14:textId="77777777" w:rsidR="000477B8" w:rsidRDefault="000477B8" w:rsidP="000A57CE">
            <w:pPr>
              <w:rPr>
                <w:sz w:val="20"/>
              </w:rPr>
            </w:pPr>
            <w:r>
              <w:rPr>
                <w:sz w:val="20"/>
              </w:rPr>
              <w:t xml:space="preserve">Cu-IUD inserted before implantation i.e. Day 19, or </w:t>
            </w:r>
          </w:p>
          <w:p w14:paraId="3B1C9DE5" w14:textId="77777777" w:rsidR="000477B8" w:rsidRDefault="000477B8" w:rsidP="000A57CE">
            <w:pPr>
              <w:rPr>
                <w:sz w:val="20"/>
              </w:rPr>
            </w:pPr>
            <w:r>
              <w:rPr>
                <w:sz w:val="20"/>
              </w:rPr>
              <w:t>&lt; 120 hours after UPSI at any point in cycle</w:t>
            </w:r>
          </w:p>
        </w:tc>
        <w:tc>
          <w:tcPr>
            <w:tcW w:w="2422" w:type="dxa"/>
          </w:tcPr>
          <w:p w14:paraId="53E23C92" w14:textId="77777777" w:rsidR="000477B8" w:rsidRDefault="000477B8" w:rsidP="000A57CE">
            <w:pPr>
              <w:rPr>
                <w:sz w:val="20"/>
              </w:rPr>
            </w:pPr>
            <w:r>
              <w:rPr>
                <w:sz w:val="20"/>
              </w:rPr>
              <w:t>&lt; 1 pregnancy</w:t>
            </w:r>
          </w:p>
        </w:tc>
        <w:tc>
          <w:tcPr>
            <w:tcW w:w="2806" w:type="dxa"/>
          </w:tcPr>
          <w:p w14:paraId="293A99D6" w14:textId="77777777" w:rsidR="000477B8" w:rsidRDefault="000477B8" w:rsidP="000A57CE">
            <w:pPr>
              <w:rPr>
                <w:sz w:val="20"/>
              </w:rPr>
            </w:pPr>
            <w:r>
              <w:rPr>
                <w:sz w:val="20"/>
              </w:rPr>
              <w:t>&lt; 1 pregnancy</w:t>
            </w:r>
          </w:p>
        </w:tc>
      </w:tr>
      <w:tr w:rsidR="000477B8" w14:paraId="5E990E81" w14:textId="77777777" w:rsidTr="000A57CE">
        <w:tc>
          <w:tcPr>
            <w:tcW w:w="5228" w:type="dxa"/>
          </w:tcPr>
          <w:p w14:paraId="6CD236DF" w14:textId="77777777" w:rsidR="000477B8" w:rsidRDefault="000477B8" w:rsidP="000A57CE">
            <w:pPr>
              <w:rPr>
                <w:sz w:val="20"/>
              </w:rPr>
            </w:pPr>
            <w:r>
              <w:rPr>
                <w:sz w:val="20"/>
              </w:rPr>
              <w:t>Levonorgestrel &lt; 72 hours after UPSI</w:t>
            </w:r>
          </w:p>
        </w:tc>
        <w:tc>
          <w:tcPr>
            <w:tcW w:w="2422" w:type="dxa"/>
          </w:tcPr>
          <w:p w14:paraId="578FE94B" w14:textId="77777777" w:rsidR="000477B8" w:rsidRDefault="000477B8" w:rsidP="000A57CE">
            <w:pPr>
              <w:rPr>
                <w:sz w:val="20"/>
              </w:rPr>
            </w:pPr>
            <w:r>
              <w:rPr>
                <w:sz w:val="20"/>
              </w:rPr>
              <w:t>3-4 pregnancies</w:t>
            </w:r>
          </w:p>
        </w:tc>
        <w:tc>
          <w:tcPr>
            <w:tcW w:w="2806" w:type="dxa"/>
          </w:tcPr>
          <w:p w14:paraId="46F5CBD2" w14:textId="77777777" w:rsidR="000477B8" w:rsidRDefault="000477B8" w:rsidP="000A57CE">
            <w:pPr>
              <w:rPr>
                <w:sz w:val="20"/>
              </w:rPr>
            </w:pPr>
            <w:r>
              <w:rPr>
                <w:sz w:val="20"/>
              </w:rPr>
              <w:t>&lt; 1 pregnancy</w:t>
            </w:r>
          </w:p>
        </w:tc>
      </w:tr>
      <w:tr w:rsidR="000477B8" w14:paraId="55D21FCC" w14:textId="77777777" w:rsidTr="000A57CE">
        <w:tc>
          <w:tcPr>
            <w:tcW w:w="5228" w:type="dxa"/>
          </w:tcPr>
          <w:p w14:paraId="30CE5530" w14:textId="77777777" w:rsidR="000477B8" w:rsidRDefault="000477B8" w:rsidP="000A57CE">
            <w:pPr>
              <w:rPr>
                <w:sz w:val="20"/>
              </w:rPr>
            </w:pPr>
            <w:r>
              <w:rPr>
                <w:sz w:val="20"/>
              </w:rPr>
              <w:t>Levonorgestrel between 72 and 120 hours (unlicensed)</w:t>
            </w:r>
          </w:p>
        </w:tc>
        <w:tc>
          <w:tcPr>
            <w:tcW w:w="2422" w:type="dxa"/>
          </w:tcPr>
          <w:p w14:paraId="76A6E29C" w14:textId="77777777" w:rsidR="000477B8" w:rsidRDefault="000477B8" w:rsidP="000A57CE">
            <w:pPr>
              <w:rPr>
                <w:sz w:val="20"/>
              </w:rPr>
            </w:pPr>
            <w:r>
              <w:rPr>
                <w:sz w:val="20"/>
              </w:rPr>
              <w:t>9 pregnancies</w:t>
            </w:r>
          </w:p>
        </w:tc>
        <w:tc>
          <w:tcPr>
            <w:tcW w:w="2806" w:type="dxa"/>
          </w:tcPr>
          <w:p w14:paraId="7B506225" w14:textId="77777777" w:rsidR="000477B8" w:rsidRDefault="000477B8" w:rsidP="000A57CE">
            <w:pPr>
              <w:rPr>
                <w:sz w:val="20"/>
              </w:rPr>
            </w:pPr>
            <w:r>
              <w:rPr>
                <w:sz w:val="20"/>
              </w:rPr>
              <w:t>&lt; 1 pregnancy</w:t>
            </w:r>
          </w:p>
        </w:tc>
      </w:tr>
      <w:tr w:rsidR="000477B8" w14:paraId="3B751ED4" w14:textId="77777777" w:rsidTr="000A57CE">
        <w:tc>
          <w:tcPr>
            <w:tcW w:w="5228" w:type="dxa"/>
          </w:tcPr>
          <w:p w14:paraId="791AC6C6" w14:textId="77777777" w:rsidR="000477B8" w:rsidRDefault="000477B8" w:rsidP="000A57CE">
            <w:pPr>
              <w:rPr>
                <w:sz w:val="20"/>
              </w:rPr>
            </w:pPr>
            <w:r>
              <w:rPr>
                <w:sz w:val="20"/>
              </w:rPr>
              <w:t>Ulipristal &lt; 120 hours after UPSI</w:t>
            </w:r>
          </w:p>
        </w:tc>
        <w:tc>
          <w:tcPr>
            <w:tcW w:w="2422" w:type="dxa"/>
          </w:tcPr>
          <w:p w14:paraId="134888D4" w14:textId="77777777" w:rsidR="000477B8" w:rsidRDefault="000477B8" w:rsidP="000A57CE">
            <w:pPr>
              <w:rPr>
                <w:sz w:val="20"/>
              </w:rPr>
            </w:pPr>
            <w:r>
              <w:rPr>
                <w:sz w:val="20"/>
              </w:rPr>
              <w:t>&lt; 3-4 pregnancies</w:t>
            </w:r>
          </w:p>
        </w:tc>
        <w:tc>
          <w:tcPr>
            <w:tcW w:w="2806" w:type="dxa"/>
          </w:tcPr>
          <w:p w14:paraId="60B5D9E5" w14:textId="77777777" w:rsidR="000477B8" w:rsidRDefault="000477B8" w:rsidP="000A57CE">
            <w:pPr>
              <w:rPr>
                <w:sz w:val="20"/>
              </w:rPr>
            </w:pPr>
            <w:r>
              <w:rPr>
                <w:sz w:val="20"/>
              </w:rPr>
              <w:t>&lt; 1 pregnancy</w:t>
            </w:r>
          </w:p>
        </w:tc>
      </w:tr>
    </w:tbl>
    <w:p w14:paraId="1EBB7C38" w14:textId="30601433" w:rsidR="000477B8" w:rsidRDefault="000477B8">
      <w:pPr>
        <w:rPr>
          <w:b/>
          <w:bCs/>
          <w:color w:val="415D13" w:themeColor="accent2" w:themeShade="80"/>
        </w:rPr>
      </w:pPr>
      <w:r>
        <w:rPr>
          <w:b/>
          <w:bCs/>
          <w:color w:val="415D13" w:themeColor="accent2" w:themeShade="80"/>
        </w:rPr>
        <w:br w:type="page"/>
      </w:r>
    </w:p>
    <w:p w14:paraId="28E02903" w14:textId="30601433" w:rsidR="00B04CB9" w:rsidRPr="00015ACF" w:rsidRDefault="00444F71" w:rsidP="00015ACF">
      <w:pPr>
        <w:pStyle w:val="Heading1"/>
        <w:rPr>
          <w:color w:val="415D13" w:themeColor="accent2" w:themeShade="80"/>
          <w:sz w:val="24"/>
          <w:szCs w:val="24"/>
        </w:rPr>
      </w:pPr>
      <w:bookmarkStart w:id="5" w:name="_Toc177475841"/>
      <w:r w:rsidRPr="00015ACF">
        <w:rPr>
          <w:color w:val="415D13" w:themeColor="accent2" w:themeShade="80"/>
          <w:sz w:val="24"/>
          <w:szCs w:val="24"/>
        </w:rPr>
        <w:t xml:space="preserve">What advice should be given </w:t>
      </w:r>
      <w:r w:rsidR="00F1455D" w:rsidRPr="00015ACF">
        <w:rPr>
          <w:color w:val="415D13" w:themeColor="accent2" w:themeShade="80"/>
          <w:sz w:val="24"/>
          <w:szCs w:val="24"/>
        </w:rPr>
        <w:t>if patient is likely to have already ovulated at time of UPSI?</w:t>
      </w:r>
      <w:bookmarkEnd w:id="5"/>
    </w:p>
    <w:p w14:paraId="39711AFC" w14:textId="16B16C68" w:rsidR="00157283" w:rsidRDefault="00A90E7C" w:rsidP="00157283">
      <w:r w:rsidRPr="00A90E7C">
        <w:t xml:space="preserve">Cu-IUD can be used effectively as </w:t>
      </w:r>
      <w:r>
        <w:t>EC until Day 19 of a 28 day cycle</w:t>
      </w:r>
      <w:r w:rsidR="0025040C">
        <w:t>, therefore should be advised as first line treatment.</w:t>
      </w:r>
    </w:p>
    <w:p w14:paraId="597CCD2C" w14:textId="5983878F" w:rsidR="001F1F91" w:rsidRDefault="00D44F1B" w:rsidP="00157283">
      <w:r>
        <w:t>Judging</w:t>
      </w:r>
      <w:r w:rsidR="00972C68">
        <w:t xml:space="preserve"> whether ovulation has occurred</w:t>
      </w:r>
      <w:r>
        <w:t xml:space="preserve"> can be difficult</w:t>
      </w:r>
      <w:r w:rsidR="00972C68">
        <w:t xml:space="preserve">, given that it can vary from patient to patient, </w:t>
      </w:r>
      <w:r w:rsidR="00975895">
        <w:t>month to month, and that the patient may not be aware when they ovulate</w:t>
      </w:r>
      <w:r w:rsidR="00BF6883">
        <w:t xml:space="preserve">.  </w:t>
      </w:r>
    </w:p>
    <w:p w14:paraId="30664F26" w14:textId="226F9D2A" w:rsidR="001F1F91" w:rsidRDefault="00960B4A" w:rsidP="00157283">
      <w:r>
        <w:t>EC can be offered on any day of a natural menstrual cycle</w:t>
      </w:r>
      <w:r w:rsidR="00880ED7">
        <w:t>, particularly if there is uncertainty as to whether ovulation has occurred, or if the patient requests treatment for peace of mind.</w:t>
      </w:r>
      <w:r>
        <w:t xml:space="preserve"> </w:t>
      </w:r>
    </w:p>
    <w:p w14:paraId="24B5E7B3" w14:textId="23D7FF35" w:rsidR="00D23DC9" w:rsidRDefault="00BF6883" w:rsidP="00157283">
      <w:r>
        <w:t>I</w:t>
      </w:r>
      <w:r w:rsidR="00E46136">
        <w:t xml:space="preserve">f the patient has ongoing concerns regarding their risk of conception, </w:t>
      </w:r>
      <w:r w:rsidR="00AA30BC">
        <w:t>they should be referred to local Sexual Health Services.</w:t>
      </w:r>
    </w:p>
    <w:p w14:paraId="3D55B10D" w14:textId="6C421E37" w:rsidR="002A7F74" w:rsidRPr="00015ACF" w:rsidRDefault="00DE6EB7" w:rsidP="00015ACF">
      <w:pPr>
        <w:pStyle w:val="Heading1"/>
        <w:rPr>
          <w:color w:val="415D13" w:themeColor="accent2" w:themeShade="80"/>
          <w:sz w:val="24"/>
          <w:szCs w:val="24"/>
        </w:rPr>
      </w:pPr>
      <w:bookmarkStart w:id="6" w:name="_Toc177475842"/>
      <w:r w:rsidRPr="00015ACF">
        <w:rPr>
          <w:color w:val="415D13" w:themeColor="accent2" w:themeShade="80"/>
          <w:sz w:val="24"/>
          <w:szCs w:val="24"/>
        </w:rPr>
        <w:t>What advice should be given to patients with a high Body Mass Index (BMI) regarding effectiveness of EC?</w:t>
      </w:r>
      <w:bookmarkEnd w:id="6"/>
    </w:p>
    <w:p w14:paraId="4B00918B" w14:textId="0D6BB91B" w:rsidR="00DE6EB7" w:rsidRDefault="006173DA" w:rsidP="00157283">
      <w:r>
        <w:t xml:space="preserve">The effectiveness of Cu-IUD is not known to be </w:t>
      </w:r>
      <w:r w:rsidR="00E71A36">
        <w:t>affected by weight or BMI.</w:t>
      </w:r>
      <w:r w:rsidR="001B3836">
        <w:t xml:space="preserve">  </w:t>
      </w:r>
      <w:r w:rsidR="00CE2F0A">
        <w:t>The effectiveness of</w:t>
      </w:r>
      <w:r w:rsidR="00FA71AD">
        <w:t xml:space="preserve"> oral EC</w:t>
      </w:r>
      <w:r w:rsidR="006F00AD">
        <w:t xml:space="preserve"> may be reduced in patients with a BMI &gt; 26kg/m</w:t>
      </w:r>
      <w:r w:rsidR="006F00AD">
        <w:rPr>
          <w:vertAlign w:val="superscript"/>
        </w:rPr>
        <w:t>2</w:t>
      </w:r>
      <w:r w:rsidR="00E71A36">
        <w:t xml:space="preserve"> or </w:t>
      </w:r>
      <w:r w:rsidR="00617DE4">
        <w:t xml:space="preserve">&gt;70kg.  </w:t>
      </w:r>
    </w:p>
    <w:p w14:paraId="08A0129F" w14:textId="157C3E22" w:rsidR="00C24D5A" w:rsidRDefault="001B3836" w:rsidP="00157283">
      <w:r>
        <w:t>If CU-IUD is not indicated</w:t>
      </w:r>
      <w:r w:rsidR="00B36B28">
        <w:t xml:space="preserve"> or</w:t>
      </w:r>
      <w:r w:rsidR="00AB0C3F">
        <w:t xml:space="preserve"> not</w:t>
      </w:r>
      <w:r w:rsidR="00B36B28">
        <w:t xml:space="preserve"> acceptable</w:t>
      </w:r>
      <w:r w:rsidR="00C24D5A">
        <w:t>:</w:t>
      </w:r>
    </w:p>
    <w:p w14:paraId="1645840E" w14:textId="77777777" w:rsidR="00C24D5A" w:rsidRPr="00C24D5A" w:rsidRDefault="00C24D5A" w:rsidP="00C24D5A">
      <w:pPr>
        <w:pStyle w:val="ListParagraph"/>
        <w:numPr>
          <w:ilvl w:val="0"/>
          <w:numId w:val="29"/>
        </w:numPr>
        <w:rPr>
          <w:b/>
          <w:bCs/>
        </w:rPr>
      </w:pPr>
      <w:r>
        <w:t>P</w:t>
      </w:r>
      <w:r w:rsidR="00B36B28">
        <w:t>atients should be offered UPA-EC at normal 30mg dose</w:t>
      </w:r>
      <w:r w:rsidR="00074F41">
        <w:t xml:space="preserve">.  </w:t>
      </w:r>
    </w:p>
    <w:p w14:paraId="061D75C5" w14:textId="6DF3EA4D" w:rsidR="001B3836" w:rsidRPr="00C24D5A" w:rsidRDefault="00074F41" w:rsidP="00C24D5A">
      <w:pPr>
        <w:pStyle w:val="ListParagraph"/>
        <w:numPr>
          <w:ilvl w:val="0"/>
          <w:numId w:val="29"/>
        </w:numPr>
        <w:rPr>
          <w:b/>
          <w:bCs/>
        </w:rPr>
      </w:pPr>
      <w:r>
        <w:t xml:space="preserve">If this </w:t>
      </w:r>
      <w:r w:rsidR="003A15BF">
        <w:t>UPA-EC is</w:t>
      </w:r>
      <w:r>
        <w:t xml:space="preserve"> not suitable, </w:t>
      </w:r>
      <w:r w:rsidR="009E0B92">
        <w:t xml:space="preserve">a double dose (3mg) of levonorgestrel </w:t>
      </w:r>
      <w:r w:rsidR="00C24D5A">
        <w:t>is recommended</w:t>
      </w:r>
      <w:r w:rsidR="009E0B92">
        <w:t xml:space="preserve">.  </w:t>
      </w:r>
      <w:r w:rsidR="009E0B92" w:rsidRPr="00C24D5A">
        <w:rPr>
          <w:b/>
          <w:bCs/>
        </w:rPr>
        <w:t>Note this is an unlicensed indication.</w:t>
      </w:r>
    </w:p>
    <w:p w14:paraId="2049AD84" w14:textId="5270F244" w:rsidR="001F000E" w:rsidRDefault="001F000E">
      <w:pPr>
        <w:rPr>
          <w:rFonts w:eastAsiaTheme="majorEastAsia" w:cstheme="majorBidi"/>
          <w:b/>
          <w:color w:val="415D13" w:themeColor="accent2" w:themeShade="80"/>
          <w:szCs w:val="24"/>
        </w:rPr>
      </w:pPr>
    </w:p>
    <w:p w14:paraId="3CB421CD" w14:textId="59D01F32" w:rsidR="006173DA" w:rsidRPr="00015ACF" w:rsidRDefault="00252CF0" w:rsidP="00015ACF">
      <w:pPr>
        <w:pStyle w:val="Heading1"/>
        <w:rPr>
          <w:color w:val="415D13" w:themeColor="accent2" w:themeShade="80"/>
          <w:sz w:val="24"/>
          <w:szCs w:val="24"/>
        </w:rPr>
      </w:pPr>
      <w:bookmarkStart w:id="7" w:name="_Toc177475843"/>
      <w:r w:rsidRPr="00015ACF">
        <w:rPr>
          <w:color w:val="415D13" w:themeColor="accent2" w:themeShade="80"/>
          <w:sz w:val="24"/>
          <w:szCs w:val="24"/>
        </w:rPr>
        <w:t>Can the patient be offered UPA-EC if they have taken a progestogen in the last 7 days?</w:t>
      </w:r>
      <w:bookmarkEnd w:id="7"/>
    </w:p>
    <w:p w14:paraId="5CBC2784" w14:textId="77777777" w:rsidR="005B3AF5" w:rsidRDefault="00E56159" w:rsidP="00E56159">
      <w:r>
        <w:t xml:space="preserve">If the patient has taken a progestogen in the last 7 days (as oral EC, regular contraception or a gynaecology prescription), </w:t>
      </w:r>
      <w:r w:rsidR="003934A7">
        <w:t>t</w:t>
      </w:r>
      <w:r w:rsidR="008D2E8A">
        <w:t>he effectiveness of UPA-EC could theoretically be reduced</w:t>
      </w:r>
      <w:r w:rsidR="003934A7">
        <w:t xml:space="preserve"> by remaining circulating progestogen.  </w:t>
      </w:r>
      <w:r w:rsidR="008D2E8A">
        <w:t xml:space="preserve"> </w:t>
      </w:r>
    </w:p>
    <w:p w14:paraId="53CE6C81" w14:textId="5B239C98" w:rsidR="00BD520C" w:rsidRDefault="00B06979" w:rsidP="005B3AF5">
      <w:pPr>
        <w:pStyle w:val="ListParagraph"/>
        <w:numPr>
          <w:ilvl w:val="0"/>
          <w:numId w:val="38"/>
        </w:numPr>
      </w:pPr>
      <w:r>
        <w:t xml:space="preserve">Patients </w:t>
      </w:r>
      <w:r w:rsidR="0016727D">
        <w:t>requesting EC due to contraceptive failure</w:t>
      </w:r>
      <w:r w:rsidR="00751898">
        <w:t xml:space="preserve"> (CF)</w:t>
      </w:r>
      <w:r w:rsidR="0016727D">
        <w:t xml:space="preserve"> (i.e. missed pill)</w:t>
      </w:r>
      <w:r w:rsidR="00750373">
        <w:t xml:space="preserve"> in the last 72 hours</w:t>
      </w:r>
      <w:r w:rsidR="0016727D">
        <w:t xml:space="preserve"> should be advised of this, and supplied LNG-EC if appropriate</w:t>
      </w:r>
      <w:r w:rsidR="00750373">
        <w:t>.</w:t>
      </w:r>
    </w:p>
    <w:p w14:paraId="04D10502" w14:textId="47994D10" w:rsidR="00750373" w:rsidRDefault="00750373" w:rsidP="00B06979">
      <w:pPr>
        <w:pStyle w:val="ListParagraph"/>
        <w:numPr>
          <w:ilvl w:val="0"/>
          <w:numId w:val="30"/>
        </w:numPr>
      </w:pPr>
      <w:r>
        <w:t xml:space="preserve">If </w:t>
      </w:r>
      <w:r w:rsidR="00E43374">
        <w:t>UPSI</w:t>
      </w:r>
      <w:r w:rsidR="00751898">
        <w:t>/CF has occurred between 72 – 120 hours</w:t>
      </w:r>
      <w:r w:rsidR="004D62FF">
        <w:t xml:space="preserve"> and</w:t>
      </w:r>
      <w:r w:rsidR="00F756F9">
        <w:t xml:space="preserve"> UPA-EC </w:t>
      </w:r>
      <w:r w:rsidR="004D62FF">
        <w:t>is</w:t>
      </w:r>
      <w:r w:rsidR="00F756F9">
        <w:t xml:space="preserve"> supplied</w:t>
      </w:r>
      <w:r w:rsidR="00340EE4">
        <w:t>,</w:t>
      </w:r>
      <w:r w:rsidR="00F756F9">
        <w:t xml:space="preserve"> the patient </w:t>
      </w:r>
      <w:r w:rsidR="00340EE4">
        <w:t xml:space="preserve">should be </w:t>
      </w:r>
      <w:r w:rsidR="00F756F9">
        <w:t xml:space="preserve">advised to stop taking their regular contraceptive </w:t>
      </w:r>
      <w:r w:rsidR="002B2CDC">
        <w:t>for 5 days after taking UPA-EC</w:t>
      </w:r>
      <w:r w:rsidR="00410E20">
        <w:t xml:space="preserve"> to avoid compromising the ability of UPA-EC to delay ovulation</w:t>
      </w:r>
      <w:r w:rsidR="002B2CDC">
        <w:t xml:space="preserve">.  </w:t>
      </w:r>
    </w:p>
    <w:p w14:paraId="5C92026F" w14:textId="421781BE" w:rsidR="002B2CDC" w:rsidRDefault="002B2CDC" w:rsidP="002B2CDC">
      <w:pPr>
        <w:pStyle w:val="ListParagraph"/>
        <w:numPr>
          <w:ilvl w:val="1"/>
          <w:numId w:val="30"/>
        </w:numPr>
      </w:pPr>
      <w:r>
        <w:t>A</w:t>
      </w:r>
      <w:r w:rsidR="0050351D">
        <w:t>bstinence or a</w:t>
      </w:r>
      <w:r>
        <w:t xml:space="preserve"> barrier method of contraception should be used for these 5 days, </w:t>
      </w:r>
      <w:r w:rsidR="00D86A8F">
        <w:t>plus an additional further 7 days after re-starting the regular contraceptive (2 days if desogestrel POP is used).</w:t>
      </w:r>
    </w:p>
    <w:p w14:paraId="2D80B620" w14:textId="542D98FC" w:rsidR="00301CC9" w:rsidRPr="00015ACF" w:rsidRDefault="00133C36" w:rsidP="00015ACF">
      <w:pPr>
        <w:pStyle w:val="Heading1"/>
        <w:rPr>
          <w:color w:val="415D13" w:themeColor="accent2" w:themeShade="80"/>
          <w:sz w:val="24"/>
          <w:szCs w:val="24"/>
        </w:rPr>
      </w:pPr>
      <w:bookmarkStart w:id="8" w:name="_Toc177475844"/>
      <w:r w:rsidRPr="00015ACF">
        <w:rPr>
          <w:color w:val="415D13" w:themeColor="accent2" w:themeShade="80"/>
          <w:sz w:val="24"/>
          <w:szCs w:val="24"/>
        </w:rPr>
        <w:t xml:space="preserve">What advice should be given if the patient has already had UPSI/CF (with or without </w:t>
      </w:r>
      <w:r w:rsidR="00D122C9" w:rsidRPr="00015ACF">
        <w:rPr>
          <w:color w:val="415D13" w:themeColor="accent2" w:themeShade="80"/>
          <w:sz w:val="24"/>
          <w:szCs w:val="24"/>
        </w:rPr>
        <w:t>oral EC) within the current cycle?</w:t>
      </w:r>
      <w:bookmarkEnd w:id="8"/>
    </w:p>
    <w:p w14:paraId="3DDCA51F" w14:textId="77777777" w:rsidR="00E84169" w:rsidRDefault="0025123A">
      <w:r w:rsidRPr="0025123A">
        <w:t>It</w:t>
      </w:r>
      <w:r>
        <w:t xml:space="preserve"> may be more appropriate to refer these patients for review by GP or SHS</w:t>
      </w:r>
      <w:r w:rsidR="00E84169">
        <w:t xml:space="preserve"> for a review of their contraceptive options.</w:t>
      </w:r>
    </w:p>
    <w:p w14:paraId="6F13F0A2" w14:textId="5FCD5613" w:rsidR="00D37261" w:rsidRDefault="00E84169">
      <w:r>
        <w:t xml:space="preserve">However, if clinically appropriate, </w:t>
      </w:r>
      <w:r w:rsidR="00406407">
        <w:t xml:space="preserve">or dictated by circumstance e.g. weekend/evening, oral EC can be offered to a patient if they have had UPSI earlier in the same cycle as well as within the last </w:t>
      </w:r>
      <w:r w:rsidR="00E32767">
        <w:t>5 days, as evidence suggests that the</w:t>
      </w:r>
      <w:r w:rsidR="00E057B9">
        <w:t>y</w:t>
      </w:r>
      <w:r w:rsidR="00E32767">
        <w:t xml:space="preserve"> do not disrupt an existing </w:t>
      </w:r>
      <w:r w:rsidR="00D37261">
        <w:t>pregnancy and are not associated with foetal abnormality.</w:t>
      </w:r>
    </w:p>
    <w:p w14:paraId="2D7CE240" w14:textId="50A2CE45" w:rsidR="00D033AE" w:rsidRDefault="00D37261">
      <w:r>
        <w:t>If a patient has already taken UPA-EC</w:t>
      </w:r>
      <w:r w:rsidR="00711627">
        <w:t xml:space="preserve">, LNG-EC should </w:t>
      </w:r>
      <w:r w:rsidR="0020334A">
        <w:t>NOT</w:t>
      </w:r>
      <w:r w:rsidR="00711627">
        <w:t xml:space="preserve"> be taken in the following 5 days</w:t>
      </w:r>
      <w:r w:rsidR="00AD74F6">
        <w:t xml:space="preserve"> to avoid compromising the ability of UPA-EC to delay ovulation</w:t>
      </w:r>
      <w:r w:rsidR="002F60FB">
        <w:t>.  UPA-EC could theoretically be less effective if taken in the following 7 days</w:t>
      </w:r>
      <w:r w:rsidR="00D224FB">
        <w:t xml:space="preserve"> after </w:t>
      </w:r>
      <w:r w:rsidR="00C24332">
        <w:t>taking a</w:t>
      </w:r>
      <w:r w:rsidR="008F3C69">
        <w:t>ny</w:t>
      </w:r>
      <w:r w:rsidR="00C24332">
        <w:t xml:space="preserve"> progestogen</w:t>
      </w:r>
      <w:r w:rsidR="00F644FE">
        <w:t>, therefore use of LNG-EC rather than UPA-EC may be considered.</w:t>
      </w:r>
    </w:p>
    <w:p w14:paraId="39E6E125" w14:textId="77777777" w:rsidR="009E6C95" w:rsidRDefault="00D033AE">
      <w:r w:rsidRPr="00C41569">
        <w:rPr>
          <w:b/>
          <w:bCs/>
        </w:rPr>
        <w:t>Note:</w:t>
      </w:r>
      <w:r>
        <w:t xml:space="preserve"> Some Health Boards stipulate in their PGD that LNG-EC can only be supplied once per cycle, but this varies across Scotland.  </w:t>
      </w:r>
      <w:r w:rsidRPr="00FD1B4F">
        <w:rPr>
          <w:b/>
          <w:bCs/>
        </w:rPr>
        <w:t xml:space="preserve">Please check </w:t>
      </w:r>
      <w:r w:rsidR="002815D8" w:rsidRPr="00FD1B4F">
        <w:rPr>
          <w:b/>
          <w:bCs/>
        </w:rPr>
        <w:t>the PGD issued by the Health Board you are working in.</w:t>
      </w:r>
      <w:r w:rsidR="002815D8">
        <w:t xml:space="preserve">  Additional supplies </w:t>
      </w:r>
      <w:r w:rsidR="00F71263">
        <w:t>within the same cycle could be sold if clinically appropriate.</w:t>
      </w:r>
    </w:p>
    <w:p w14:paraId="19704FD5" w14:textId="77777777" w:rsidR="00570575" w:rsidRPr="00015ACF" w:rsidRDefault="00570575" w:rsidP="00015ACF">
      <w:pPr>
        <w:pStyle w:val="Heading1"/>
        <w:rPr>
          <w:color w:val="415D13" w:themeColor="accent2" w:themeShade="80"/>
          <w:sz w:val="24"/>
          <w:szCs w:val="24"/>
        </w:rPr>
      </w:pPr>
      <w:bookmarkStart w:id="9" w:name="_Toc177475845"/>
      <w:r w:rsidRPr="00015ACF">
        <w:rPr>
          <w:color w:val="415D13" w:themeColor="accent2" w:themeShade="80"/>
          <w:sz w:val="24"/>
          <w:szCs w:val="24"/>
        </w:rPr>
        <w:t>What options are provided for patients with UPSI/CF more than 120 hours prior?</w:t>
      </w:r>
      <w:bookmarkEnd w:id="9"/>
    </w:p>
    <w:p w14:paraId="638C43AE" w14:textId="77777777" w:rsidR="00570575" w:rsidRDefault="00570575">
      <w:r>
        <w:t xml:space="preserve">Following referral, sexual health practitioners </w:t>
      </w:r>
      <w:r w:rsidRPr="00570575">
        <w:rPr>
          <w:u w:val="single"/>
        </w:rPr>
        <w:t>may</w:t>
      </w:r>
      <w:r>
        <w:t xml:space="preserve"> decide it is still appropriate for patients to receive Cu-IUD or oral EC.  They can also discuss and supply more suitable ongoing contraception.</w:t>
      </w:r>
    </w:p>
    <w:p w14:paraId="5A2A410E" w14:textId="7F2F2F02" w:rsidR="00261E1D" w:rsidRPr="00015ACF" w:rsidRDefault="00442A47" w:rsidP="00015ACF">
      <w:pPr>
        <w:pStyle w:val="Heading1"/>
        <w:rPr>
          <w:color w:val="415D13" w:themeColor="accent2" w:themeShade="80"/>
          <w:sz w:val="24"/>
          <w:szCs w:val="24"/>
        </w:rPr>
      </w:pPr>
      <w:bookmarkStart w:id="10" w:name="_Toc177475846"/>
      <w:r w:rsidRPr="00015ACF">
        <w:rPr>
          <w:color w:val="415D13" w:themeColor="accent2" w:themeShade="80"/>
          <w:sz w:val="24"/>
          <w:szCs w:val="24"/>
        </w:rPr>
        <w:t>Why are patients who have given birth up to 3 weeks ago not suitable for oral EC</w:t>
      </w:r>
      <w:r w:rsidR="00261E1D" w:rsidRPr="00015ACF">
        <w:rPr>
          <w:color w:val="415D13" w:themeColor="accent2" w:themeShade="80"/>
          <w:sz w:val="24"/>
          <w:szCs w:val="24"/>
        </w:rPr>
        <w:t>?</w:t>
      </w:r>
      <w:bookmarkEnd w:id="10"/>
    </w:p>
    <w:p w14:paraId="4CD6FA55" w14:textId="2F32107C" w:rsidR="00A438A8" w:rsidRDefault="00261E1D">
      <w:r>
        <w:t>Con</w:t>
      </w:r>
      <w:r w:rsidR="00EC42D3">
        <w:t xml:space="preserve">traception is not required until Day 21 after childbirth.  Patients should be reassured that they cannot become pregnant </w:t>
      </w:r>
      <w:r w:rsidR="008F46F0">
        <w:t>at this time.</w:t>
      </w:r>
    </w:p>
    <w:p w14:paraId="00DEFF03" w14:textId="77777777" w:rsidR="00A438A8" w:rsidRPr="00015ACF" w:rsidRDefault="00A438A8" w:rsidP="00015ACF">
      <w:pPr>
        <w:pStyle w:val="Heading1"/>
        <w:rPr>
          <w:color w:val="415D13" w:themeColor="accent2" w:themeShade="80"/>
          <w:sz w:val="24"/>
          <w:szCs w:val="24"/>
        </w:rPr>
      </w:pPr>
      <w:bookmarkStart w:id="11" w:name="_Toc177475847"/>
      <w:r w:rsidRPr="00015ACF">
        <w:rPr>
          <w:color w:val="415D13" w:themeColor="accent2" w:themeShade="80"/>
          <w:sz w:val="24"/>
          <w:szCs w:val="24"/>
        </w:rPr>
        <w:t>What advice should be given to breastfeeding mothers regarding oral EC?</w:t>
      </w:r>
      <w:bookmarkEnd w:id="11"/>
    </w:p>
    <w:p w14:paraId="037433A9" w14:textId="22FAE38D" w:rsidR="00924CC0" w:rsidRDefault="002E2D77">
      <w:r>
        <w:t>Breastfeeding is not recommended for 7 days following ingestion of UPA-EC</w:t>
      </w:r>
      <w:r w:rsidR="00924CC0">
        <w:t>.  Advise the patient to express and discard the breast milk during this time.</w:t>
      </w:r>
    </w:p>
    <w:p w14:paraId="42E1B102" w14:textId="77777777" w:rsidR="00DD67A2" w:rsidRDefault="00924CC0">
      <w:r>
        <w:t>There is limited evidence regarding the use of LNG-EC in breastfeeding, but there is no suggestion of adverse effects on breastfeeding or the infant.</w:t>
      </w:r>
    </w:p>
    <w:p w14:paraId="637F2FBB" w14:textId="77777777" w:rsidR="00EA3E4D" w:rsidRPr="00015ACF" w:rsidRDefault="00EA3E4D" w:rsidP="00015ACF">
      <w:pPr>
        <w:pStyle w:val="Heading1"/>
        <w:rPr>
          <w:color w:val="415D13" w:themeColor="accent2" w:themeShade="80"/>
          <w:sz w:val="24"/>
          <w:szCs w:val="24"/>
        </w:rPr>
      </w:pPr>
      <w:bookmarkStart w:id="12" w:name="_Toc177475848"/>
      <w:r w:rsidRPr="00015ACF">
        <w:rPr>
          <w:color w:val="415D13" w:themeColor="accent2" w:themeShade="80"/>
          <w:sz w:val="24"/>
          <w:szCs w:val="24"/>
        </w:rPr>
        <w:t>Does oral EC affect the ability to drive or operate machinery?</w:t>
      </w:r>
      <w:bookmarkEnd w:id="12"/>
    </w:p>
    <w:p w14:paraId="7EE0BC0B" w14:textId="77777777" w:rsidR="00EA3E4D" w:rsidRDefault="00EA3E4D">
      <w:r>
        <w:t>UPA-EC (Ella One</w:t>
      </w:r>
      <w:r>
        <w:rPr>
          <w:rFonts w:cs="Arial"/>
          <w:vertAlign w:val="superscript"/>
        </w:rPr>
        <w:t>®</w:t>
      </w:r>
      <w:r>
        <w:t>) may have minor or moderate influence on the ability to drive or use machines as mild to moderate dizziness is a common side effect.  Advise patients not to drive or operate machinery if they experience dizziness.</w:t>
      </w:r>
    </w:p>
    <w:p w14:paraId="0F31AB61" w14:textId="77777777" w:rsidR="00674EAD" w:rsidRDefault="00EA3E4D">
      <w:r>
        <w:t>No stud</w:t>
      </w:r>
      <w:r w:rsidR="00AB0617">
        <w:t>ies of the effect o</w:t>
      </w:r>
      <w:r w:rsidR="00A24160">
        <w:t>n the ability to drive and use machines have been performed on LNG-EC.</w:t>
      </w:r>
    </w:p>
    <w:p w14:paraId="5C19A17D" w14:textId="77777777" w:rsidR="00151DBB" w:rsidRPr="00015ACF" w:rsidRDefault="00674EAD" w:rsidP="00015ACF">
      <w:pPr>
        <w:pStyle w:val="Heading1"/>
        <w:rPr>
          <w:color w:val="415D13" w:themeColor="accent2" w:themeShade="80"/>
          <w:sz w:val="24"/>
          <w:szCs w:val="24"/>
        </w:rPr>
      </w:pPr>
      <w:bookmarkStart w:id="13" w:name="_Toc177475849"/>
      <w:r w:rsidRPr="00015ACF">
        <w:rPr>
          <w:color w:val="415D13" w:themeColor="accent2" w:themeShade="80"/>
          <w:sz w:val="24"/>
          <w:szCs w:val="24"/>
        </w:rPr>
        <w:t>Why is there a PGD for the supply of LNG-EC but not UPA-EC</w:t>
      </w:r>
      <w:r w:rsidR="00151DBB" w:rsidRPr="00015ACF">
        <w:rPr>
          <w:color w:val="415D13" w:themeColor="accent2" w:themeShade="80"/>
          <w:sz w:val="24"/>
          <w:szCs w:val="24"/>
        </w:rPr>
        <w:t>?</w:t>
      </w:r>
      <w:bookmarkEnd w:id="13"/>
    </w:p>
    <w:p w14:paraId="36C30D97" w14:textId="583374E4" w:rsidR="001C3278" w:rsidRDefault="00151DBB">
      <w:r>
        <w:t>UPA-EC</w:t>
      </w:r>
      <w:r w:rsidR="00EF5152">
        <w:t xml:space="preserve"> (Ella One</w:t>
      </w:r>
      <w:r w:rsidR="00EF5152">
        <w:softHyphen/>
      </w:r>
      <w:r w:rsidR="005B5289">
        <w:rPr>
          <w:rFonts w:cs="Arial"/>
          <w:vertAlign w:val="superscript"/>
        </w:rPr>
        <w:t>®</w:t>
      </w:r>
      <w:r w:rsidR="005B5289">
        <w:t>)</w:t>
      </w:r>
      <w:r>
        <w:t xml:space="preserve"> is a Pharmacy Only medicine and therefore does not require a PGD to supply to patients</w:t>
      </w:r>
      <w:r w:rsidR="006A6E7C">
        <w:t>.  The PGD for LNG-EC allows access to the more cost effective Prescription Only Medicine</w:t>
      </w:r>
      <w:r w:rsidR="001C3278">
        <w:t xml:space="preserve"> products rather than supply the Pharmacy Only medicine Levonelle.</w:t>
      </w:r>
    </w:p>
    <w:p w14:paraId="38CE464E" w14:textId="514DA94D" w:rsidR="00EA422A" w:rsidRPr="00BE4334" w:rsidRDefault="007616F3" w:rsidP="00BE4334">
      <w:pPr>
        <w:pStyle w:val="Heading1"/>
        <w:rPr>
          <w:color w:val="415D13" w:themeColor="accent2" w:themeShade="80"/>
          <w:sz w:val="24"/>
          <w:szCs w:val="24"/>
        </w:rPr>
      </w:pPr>
      <w:bookmarkStart w:id="14" w:name="_Toc177475850"/>
      <w:r w:rsidRPr="00015ACF">
        <w:rPr>
          <w:color w:val="415D13" w:themeColor="accent2" w:themeShade="80"/>
          <w:sz w:val="24"/>
          <w:szCs w:val="24"/>
        </w:rPr>
        <w:t xml:space="preserve">How long should written records of EC consultations </w:t>
      </w:r>
      <w:r w:rsidR="00B87DC8">
        <w:rPr>
          <w:color w:val="415D13" w:themeColor="accent2" w:themeShade="80"/>
          <w:sz w:val="24"/>
          <w:szCs w:val="24"/>
        </w:rPr>
        <w:t xml:space="preserve">be kept </w:t>
      </w:r>
      <w:r w:rsidRPr="00015ACF">
        <w:rPr>
          <w:color w:val="415D13" w:themeColor="accent2" w:themeShade="80"/>
          <w:sz w:val="24"/>
          <w:szCs w:val="24"/>
        </w:rPr>
        <w:t>for?</w:t>
      </w:r>
      <w:bookmarkEnd w:id="14"/>
    </w:p>
    <w:p w14:paraId="55EDD03D" w14:textId="77777777" w:rsidR="00524986" w:rsidRDefault="00524986">
      <w:r w:rsidRPr="00524986">
        <w:t>Details of record keeping requirements can be found at:</w:t>
      </w:r>
    </w:p>
    <w:p w14:paraId="5A12A847" w14:textId="5E3174D6" w:rsidR="0050747D" w:rsidRPr="002B6B73" w:rsidRDefault="0050747D" w:rsidP="0050747D">
      <w:pPr>
        <w:rPr>
          <w:color w:val="1F497D"/>
          <w:sz w:val="18"/>
          <w:szCs w:val="18"/>
        </w:rPr>
      </w:pPr>
      <w:r w:rsidRPr="002B6B73">
        <w:rPr>
          <w:sz w:val="18"/>
          <w:szCs w:val="18"/>
        </w:rPr>
        <w:t xml:space="preserve">Scottish Government.  </w:t>
      </w:r>
      <w:r w:rsidRPr="002B6B73">
        <w:rPr>
          <w:i/>
          <w:sz w:val="18"/>
          <w:szCs w:val="18"/>
        </w:rPr>
        <w:t>Scottish Government Records Management.</w:t>
      </w:r>
      <w:r w:rsidRPr="002B6B73">
        <w:rPr>
          <w:sz w:val="18"/>
          <w:szCs w:val="18"/>
        </w:rPr>
        <w:t xml:space="preserve">  Edinburgh 2020. </w:t>
      </w:r>
      <w:r w:rsidRPr="002B6B73">
        <w:rPr>
          <w:color w:val="415D13" w:themeColor="accent2" w:themeShade="80"/>
          <w:sz w:val="18"/>
          <w:szCs w:val="18"/>
        </w:rPr>
        <w:t xml:space="preserve">Available at </w:t>
      </w:r>
      <w:hyperlink r:id="rId15" w:history="1">
        <w:r w:rsidRPr="002B6B73">
          <w:rPr>
            <w:rStyle w:val="Hyperlink"/>
            <w:color w:val="415D13" w:themeColor="accent2" w:themeShade="80"/>
            <w:sz w:val="18"/>
            <w:szCs w:val="18"/>
          </w:rPr>
          <w:t>SG-HSC-Scotland-Records-Management-Code-of-Practice-2020-v20200602.pdf</w:t>
        </w:r>
      </w:hyperlink>
      <w:r w:rsidRPr="002B6B73">
        <w:rPr>
          <w:color w:val="415D13" w:themeColor="accent2" w:themeShade="80"/>
          <w:sz w:val="18"/>
          <w:szCs w:val="18"/>
        </w:rPr>
        <w:t xml:space="preserve"> </w:t>
      </w:r>
      <w:r w:rsidRPr="002B6B73">
        <w:rPr>
          <w:color w:val="0078D4" w:themeColor="accent1"/>
          <w:sz w:val="18"/>
          <w:szCs w:val="18"/>
        </w:rPr>
        <w:t xml:space="preserve"> </w:t>
      </w:r>
      <w:r w:rsidRPr="002B6B73">
        <w:rPr>
          <w:sz w:val="18"/>
          <w:szCs w:val="18"/>
        </w:rPr>
        <w:t xml:space="preserve">(Accessed </w:t>
      </w:r>
      <w:r w:rsidR="00BB55CD" w:rsidRPr="002B6B73">
        <w:rPr>
          <w:sz w:val="18"/>
          <w:szCs w:val="18"/>
        </w:rPr>
        <w:t>5</w:t>
      </w:r>
      <w:r w:rsidR="00BB55CD" w:rsidRPr="002B6B73">
        <w:rPr>
          <w:sz w:val="18"/>
          <w:szCs w:val="18"/>
          <w:vertAlign w:val="superscript"/>
        </w:rPr>
        <w:t>th</w:t>
      </w:r>
      <w:r w:rsidR="00BB55CD" w:rsidRPr="002B6B73">
        <w:rPr>
          <w:sz w:val="18"/>
          <w:szCs w:val="18"/>
        </w:rPr>
        <w:t xml:space="preserve"> April 2024</w:t>
      </w:r>
      <w:r w:rsidRPr="002B6B73">
        <w:rPr>
          <w:sz w:val="18"/>
          <w:szCs w:val="18"/>
        </w:rPr>
        <w:t>)</w:t>
      </w:r>
    </w:p>
    <w:tbl>
      <w:tblPr>
        <w:tblStyle w:val="TableGrid"/>
        <w:tblW w:w="0" w:type="auto"/>
        <w:tblLook w:val="04A0" w:firstRow="1" w:lastRow="0" w:firstColumn="1" w:lastColumn="0" w:noHBand="0" w:noVBand="1"/>
      </w:tblPr>
      <w:tblGrid>
        <w:gridCol w:w="3020"/>
        <w:gridCol w:w="6040"/>
      </w:tblGrid>
      <w:tr w:rsidR="005E7B86" w14:paraId="5EBF89D9" w14:textId="77777777" w:rsidTr="007B0F14">
        <w:trPr>
          <w:cnfStyle w:val="100000000000" w:firstRow="1" w:lastRow="0" w:firstColumn="0" w:lastColumn="0" w:oddVBand="0" w:evenVBand="0" w:oddHBand="0" w:evenHBand="0" w:firstRowFirstColumn="0" w:firstRowLastColumn="0" w:lastRowFirstColumn="0" w:lastRowLastColumn="0"/>
        </w:trPr>
        <w:tc>
          <w:tcPr>
            <w:tcW w:w="3020" w:type="dxa"/>
            <w:shd w:val="clear" w:color="auto" w:fill="415D13" w:themeFill="accent2" w:themeFillShade="80"/>
          </w:tcPr>
          <w:p w14:paraId="050938D9" w14:textId="2E94538F" w:rsidR="005E7B86" w:rsidRDefault="005E7B86">
            <w:r>
              <w:t>Record Type</w:t>
            </w:r>
          </w:p>
        </w:tc>
        <w:tc>
          <w:tcPr>
            <w:tcW w:w="6040" w:type="dxa"/>
            <w:shd w:val="clear" w:color="auto" w:fill="415D13" w:themeFill="accent2" w:themeFillShade="80"/>
          </w:tcPr>
          <w:p w14:paraId="3A656424" w14:textId="3DABDE0E" w:rsidR="005E7B86" w:rsidRDefault="005E7B86">
            <w:r>
              <w:t>Minimum retention period</w:t>
            </w:r>
          </w:p>
        </w:tc>
      </w:tr>
      <w:tr w:rsidR="005E7B86" w14:paraId="47B201E8" w14:textId="77777777" w:rsidTr="00981E39">
        <w:tc>
          <w:tcPr>
            <w:tcW w:w="3020" w:type="dxa"/>
          </w:tcPr>
          <w:p w14:paraId="751842B0" w14:textId="1F2E7EE6" w:rsidR="005E7B86" w:rsidRDefault="005E7B86">
            <w:r>
              <w:t>Adult</w:t>
            </w:r>
          </w:p>
        </w:tc>
        <w:tc>
          <w:tcPr>
            <w:tcW w:w="6040" w:type="dxa"/>
          </w:tcPr>
          <w:p w14:paraId="6751C9A7" w14:textId="7D790DA4" w:rsidR="005E7B86" w:rsidRDefault="005E7B86">
            <w:r>
              <w:t>6 years after date of last entry or 3 years afte</w:t>
            </w:r>
            <w:r w:rsidR="00E73CC8">
              <w:t>r death if earlier.</w:t>
            </w:r>
          </w:p>
        </w:tc>
      </w:tr>
      <w:tr w:rsidR="005E7B86" w14:paraId="2D46D4C2" w14:textId="77777777" w:rsidTr="00427BC0">
        <w:tc>
          <w:tcPr>
            <w:tcW w:w="3020" w:type="dxa"/>
          </w:tcPr>
          <w:p w14:paraId="12FFECE3" w14:textId="4EE19862" w:rsidR="005E7B86" w:rsidRDefault="00907D94">
            <w:r>
              <w:t>Children’s health records</w:t>
            </w:r>
          </w:p>
        </w:tc>
        <w:tc>
          <w:tcPr>
            <w:tcW w:w="6040" w:type="dxa"/>
          </w:tcPr>
          <w:p w14:paraId="5C1503FC" w14:textId="1802C911" w:rsidR="005E7B86" w:rsidRDefault="00907D94">
            <w:r>
              <w:t>Retain until the patient’s 25</w:t>
            </w:r>
            <w:r w:rsidRPr="00907D94">
              <w:rPr>
                <w:vertAlign w:val="superscript"/>
              </w:rPr>
              <w:t>th</w:t>
            </w:r>
            <w:r>
              <w:t xml:space="preserve"> </w:t>
            </w:r>
            <w:r w:rsidR="0003284E">
              <w:t>birthday or 26</w:t>
            </w:r>
            <w:r w:rsidR="0003284E" w:rsidRPr="0003284E">
              <w:rPr>
                <w:vertAlign w:val="superscript"/>
              </w:rPr>
              <w:t>th</w:t>
            </w:r>
            <w:r w:rsidR="0003284E">
              <w:t xml:space="preserve"> birthday if the young person was 17 at the conclusion of treatment</w:t>
            </w:r>
            <w:r w:rsidR="004007A7">
              <w:t>, or 3 years after death.</w:t>
            </w:r>
          </w:p>
        </w:tc>
      </w:tr>
    </w:tbl>
    <w:p w14:paraId="56A4A9B7" w14:textId="20C80DBE" w:rsidR="000C5C0E" w:rsidRPr="00146E2E" w:rsidRDefault="00C15087" w:rsidP="00146E2E">
      <w:pPr>
        <w:pStyle w:val="Heading1"/>
        <w:rPr>
          <w:color w:val="415D13" w:themeColor="accent2" w:themeShade="80"/>
          <w:sz w:val="24"/>
          <w:szCs w:val="24"/>
        </w:rPr>
      </w:pPr>
      <w:bookmarkStart w:id="15" w:name="_Toc177475851"/>
      <w:r w:rsidRPr="00146E2E">
        <w:rPr>
          <w:color w:val="415D13" w:themeColor="accent2" w:themeShade="80"/>
          <w:sz w:val="24"/>
          <w:szCs w:val="24"/>
        </w:rPr>
        <w:t xml:space="preserve">Are transgender patients eligible for </w:t>
      </w:r>
      <w:r w:rsidR="00146E2E" w:rsidRPr="00146E2E">
        <w:rPr>
          <w:color w:val="415D13" w:themeColor="accent2" w:themeShade="80"/>
          <w:sz w:val="24"/>
          <w:szCs w:val="24"/>
        </w:rPr>
        <w:t>EC?</w:t>
      </w:r>
      <w:bookmarkEnd w:id="15"/>
    </w:p>
    <w:p w14:paraId="1C20D3C5" w14:textId="77777777" w:rsidR="00146E2E" w:rsidRDefault="00146E2E" w:rsidP="00146E2E">
      <w:r>
        <w:t>Patients are eligible for oral EC if they are physiologically at risk of becoming pregnant (e.g. trans men) regardless of gender or physical appearance.</w:t>
      </w:r>
    </w:p>
    <w:p w14:paraId="3268F0E7" w14:textId="390BCA16" w:rsidR="00146E2E" w:rsidRDefault="00146E2E" w:rsidP="00146E2E">
      <w:r>
        <w:t>LNG-EC or UPA-EC can be used along</w:t>
      </w:r>
      <w:r w:rsidR="00136317">
        <w:t>side</w:t>
      </w:r>
      <w:r>
        <w:t xml:space="preserve"> hormones used for gender reaffirming treatment.  These hormones are not being used as contraception and will not necessarily be sufficient to prevent pregnancy.</w:t>
      </w:r>
    </w:p>
    <w:p w14:paraId="4E428145" w14:textId="1E43BA6E" w:rsidR="00146E2E" w:rsidRDefault="00146E2E">
      <w:r>
        <w:t>These patients will likely not have regular menstruation so a pregnancy test should be used to exclude pregnancy.</w:t>
      </w:r>
    </w:p>
    <w:p w14:paraId="11ECEEF5" w14:textId="4E3C5236" w:rsidR="00DD178E" w:rsidRPr="00507776" w:rsidRDefault="00DD178E" w:rsidP="00507776">
      <w:pPr>
        <w:pStyle w:val="Heading1"/>
        <w:rPr>
          <w:color w:val="415D13" w:themeColor="accent2" w:themeShade="80"/>
          <w:sz w:val="24"/>
          <w:szCs w:val="24"/>
        </w:rPr>
      </w:pPr>
      <w:bookmarkStart w:id="16" w:name="_Toc177475852"/>
      <w:r w:rsidRPr="00507776">
        <w:rPr>
          <w:color w:val="415D13" w:themeColor="accent2" w:themeShade="80"/>
          <w:sz w:val="24"/>
          <w:szCs w:val="24"/>
        </w:rPr>
        <w:t xml:space="preserve">When </w:t>
      </w:r>
      <w:r w:rsidR="00350773" w:rsidRPr="00507776">
        <w:rPr>
          <w:color w:val="415D13" w:themeColor="accent2" w:themeShade="80"/>
          <w:sz w:val="24"/>
          <w:szCs w:val="24"/>
        </w:rPr>
        <w:t xml:space="preserve">in the menstrual cycle </w:t>
      </w:r>
      <w:r w:rsidR="00B1665F">
        <w:rPr>
          <w:color w:val="415D13" w:themeColor="accent2" w:themeShade="80"/>
          <w:sz w:val="24"/>
          <w:szCs w:val="24"/>
        </w:rPr>
        <w:t>can</w:t>
      </w:r>
      <w:r w:rsidRPr="00507776">
        <w:rPr>
          <w:color w:val="415D13" w:themeColor="accent2" w:themeShade="80"/>
          <w:sz w:val="24"/>
          <w:szCs w:val="24"/>
        </w:rPr>
        <w:t xml:space="preserve"> Bridging Contraception be started</w:t>
      </w:r>
      <w:r w:rsidR="00350773" w:rsidRPr="00507776">
        <w:rPr>
          <w:color w:val="415D13" w:themeColor="accent2" w:themeShade="80"/>
          <w:sz w:val="24"/>
          <w:szCs w:val="24"/>
        </w:rPr>
        <w:t>?</w:t>
      </w:r>
      <w:bookmarkEnd w:id="16"/>
    </w:p>
    <w:tbl>
      <w:tblPr>
        <w:tblStyle w:val="TableGrid"/>
        <w:tblW w:w="0" w:type="auto"/>
        <w:tblLook w:val="04A0" w:firstRow="1" w:lastRow="0" w:firstColumn="1" w:lastColumn="0" w:noHBand="0" w:noVBand="1"/>
      </w:tblPr>
      <w:tblGrid>
        <w:gridCol w:w="2265"/>
        <w:gridCol w:w="2265"/>
        <w:gridCol w:w="2265"/>
        <w:gridCol w:w="2265"/>
      </w:tblGrid>
      <w:tr w:rsidR="003526F9" w14:paraId="4C22E922" w14:textId="77777777" w:rsidTr="00206E13">
        <w:trPr>
          <w:cnfStyle w:val="100000000000" w:firstRow="1" w:lastRow="0" w:firstColumn="0" w:lastColumn="0" w:oddVBand="0" w:evenVBand="0" w:oddHBand="0" w:evenHBand="0" w:firstRowFirstColumn="0" w:firstRowLastColumn="0" w:lastRowFirstColumn="0" w:lastRowLastColumn="0"/>
        </w:trPr>
        <w:tc>
          <w:tcPr>
            <w:tcW w:w="4530" w:type="dxa"/>
            <w:gridSpan w:val="2"/>
            <w:shd w:val="clear" w:color="auto" w:fill="415D13" w:themeFill="accent2" w:themeFillShade="80"/>
          </w:tcPr>
          <w:p w14:paraId="2B1AD838" w14:textId="77777777" w:rsidR="003526F9" w:rsidRDefault="003526F9" w:rsidP="006559F8">
            <w:r>
              <w:t>When to start</w:t>
            </w:r>
          </w:p>
        </w:tc>
        <w:tc>
          <w:tcPr>
            <w:tcW w:w="2265" w:type="dxa"/>
            <w:shd w:val="clear" w:color="auto" w:fill="415D13" w:themeFill="accent2" w:themeFillShade="80"/>
          </w:tcPr>
          <w:p w14:paraId="3FE5966A" w14:textId="77777777" w:rsidR="003526F9" w:rsidRDefault="003526F9" w:rsidP="006559F8">
            <w:r>
              <w:t>Additional contraceptive precautions required?</w:t>
            </w:r>
          </w:p>
        </w:tc>
        <w:tc>
          <w:tcPr>
            <w:tcW w:w="2265" w:type="dxa"/>
            <w:shd w:val="clear" w:color="auto" w:fill="415D13" w:themeFill="accent2" w:themeFillShade="80"/>
          </w:tcPr>
          <w:p w14:paraId="65C83194" w14:textId="77777777" w:rsidR="003526F9" w:rsidRDefault="003526F9" w:rsidP="006559F8">
            <w:r>
              <w:t>Notes</w:t>
            </w:r>
          </w:p>
        </w:tc>
      </w:tr>
      <w:tr w:rsidR="00EA15D9" w14:paraId="02263F9E" w14:textId="77777777" w:rsidTr="006559F8">
        <w:tc>
          <w:tcPr>
            <w:tcW w:w="9060" w:type="dxa"/>
            <w:gridSpan w:val="4"/>
          </w:tcPr>
          <w:p w14:paraId="7256AC8B" w14:textId="2140C91D" w:rsidR="00EA15D9" w:rsidRPr="00350246" w:rsidRDefault="00EA15D9" w:rsidP="006559F8">
            <w:pPr>
              <w:rPr>
                <w:b/>
                <w:bCs/>
              </w:rPr>
            </w:pPr>
            <w:r w:rsidRPr="00350246">
              <w:rPr>
                <w:b/>
                <w:bCs/>
              </w:rPr>
              <w:t xml:space="preserve">Day in cycle when starting </w:t>
            </w:r>
            <w:r w:rsidR="00255B4C">
              <w:rPr>
                <w:b/>
                <w:bCs/>
              </w:rPr>
              <w:t>desogestrel</w:t>
            </w:r>
          </w:p>
        </w:tc>
      </w:tr>
      <w:tr w:rsidR="00EA15D9" w14:paraId="14C05BDB" w14:textId="77777777" w:rsidTr="006559F8">
        <w:tc>
          <w:tcPr>
            <w:tcW w:w="2265" w:type="dxa"/>
          </w:tcPr>
          <w:p w14:paraId="10635243" w14:textId="77777777" w:rsidR="00EA15D9" w:rsidRDefault="00EA15D9" w:rsidP="00EA15D9">
            <w:pPr>
              <w:pStyle w:val="ListParagraph"/>
              <w:numPr>
                <w:ilvl w:val="0"/>
                <w:numId w:val="31"/>
              </w:numPr>
            </w:pPr>
            <w:r>
              <w:t>Day 1 - 5</w:t>
            </w:r>
          </w:p>
        </w:tc>
        <w:tc>
          <w:tcPr>
            <w:tcW w:w="2265" w:type="dxa"/>
          </w:tcPr>
          <w:p w14:paraId="4D57A138" w14:textId="6F32A141" w:rsidR="00EA15D9" w:rsidRDefault="00EA15D9" w:rsidP="006559F8"/>
        </w:tc>
        <w:tc>
          <w:tcPr>
            <w:tcW w:w="2265" w:type="dxa"/>
          </w:tcPr>
          <w:p w14:paraId="35D0B9C3" w14:textId="77777777" w:rsidR="00EA15D9" w:rsidRDefault="00EA15D9" w:rsidP="006559F8">
            <w:r>
              <w:t>No</w:t>
            </w:r>
          </w:p>
        </w:tc>
        <w:tc>
          <w:tcPr>
            <w:tcW w:w="2265" w:type="dxa"/>
          </w:tcPr>
          <w:p w14:paraId="23732E35" w14:textId="77777777" w:rsidR="00EA15D9" w:rsidRDefault="00EA15D9" w:rsidP="006559F8"/>
        </w:tc>
      </w:tr>
      <w:tr w:rsidR="00EA15D9" w14:paraId="47F880B7" w14:textId="77777777" w:rsidTr="006559F8">
        <w:tc>
          <w:tcPr>
            <w:tcW w:w="2265" w:type="dxa"/>
          </w:tcPr>
          <w:p w14:paraId="3290A7AB" w14:textId="77777777" w:rsidR="00EA15D9" w:rsidRDefault="00EA15D9" w:rsidP="00EA15D9">
            <w:pPr>
              <w:pStyle w:val="ListParagraph"/>
              <w:numPr>
                <w:ilvl w:val="0"/>
                <w:numId w:val="31"/>
              </w:numPr>
            </w:pPr>
            <w:r>
              <w:t>Day 5 – end of cycle</w:t>
            </w:r>
          </w:p>
        </w:tc>
        <w:tc>
          <w:tcPr>
            <w:tcW w:w="2265" w:type="dxa"/>
          </w:tcPr>
          <w:p w14:paraId="727D0D0E" w14:textId="77777777" w:rsidR="00EA15D9" w:rsidRPr="00ED23F4" w:rsidRDefault="00EA15D9" w:rsidP="006559F8">
            <w:pPr>
              <w:rPr>
                <w:sz w:val="22"/>
              </w:rPr>
            </w:pPr>
            <w:r w:rsidRPr="00ED23F4">
              <w:rPr>
                <w:sz w:val="22"/>
              </w:rPr>
              <w:t>“Quick start” possible if reasonably certain patient is not pregnant</w:t>
            </w:r>
          </w:p>
        </w:tc>
        <w:tc>
          <w:tcPr>
            <w:tcW w:w="2265" w:type="dxa"/>
          </w:tcPr>
          <w:p w14:paraId="426ACC4B" w14:textId="77777777" w:rsidR="00EA15D9" w:rsidRDefault="00EA15D9" w:rsidP="006559F8">
            <w:r>
              <w:t>Yes – for first 48 hours</w:t>
            </w:r>
          </w:p>
        </w:tc>
        <w:tc>
          <w:tcPr>
            <w:tcW w:w="2265" w:type="dxa"/>
          </w:tcPr>
          <w:p w14:paraId="162C3CFB" w14:textId="77777777" w:rsidR="00EA15D9" w:rsidRPr="00ED23F4" w:rsidRDefault="00EA15D9" w:rsidP="006559F8">
            <w:pPr>
              <w:rPr>
                <w:sz w:val="22"/>
              </w:rPr>
            </w:pPr>
            <w:r w:rsidRPr="00ED23F4">
              <w:rPr>
                <w:sz w:val="22"/>
              </w:rPr>
              <w:t>Follow up pregnancy test at least 21 days after last UPSI</w:t>
            </w:r>
          </w:p>
          <w:p w14:paraId="3A2C1398" w14:textId="0AE02ED0" w:rsidR="00EA15D9" w:rsidRPr="005A0DC2" w:rsidRDefault="00EA15D9" w:rsidP="006559F8">
            <w:pPr>
              <w:rPr>
                <w:sz w:val="18"/>
                <w:szCs w:val="18"/>
              </w:rPr>
            </w:pPr>
            <w:r w:rsidRPr="005A0DC2">
              <w:rPr>
                <w:sz w:val="18"/>
                <w:szCs w:val="18"/>
              </w:rPr>
              <w:t xml:space="preserve">See </w:t>
            </w:r>
            <w:r w:rsidR="00325003">
              <w:rPr>
                <w:sz w:val="18"/>
                <w:szCs w:val="18"/>
              </w:rPr>
              <w:t>“What is Quick star</w:t>
            </w:r>
            <w:r w:rsidR="00D34A21">
              <w:rPr>
                <w:sz w:val="18"/>
                <w:szCs w:val="18"/>
              </w:rPr>
              <w:t>ting contraception</w:t>
            </w:r>
            <w:r w:rsidR="00325003">
              <w:rPr>
                <w:sz w:val="18"/>
                <w:szCs w:val="18"/>
              </w:rPr>
              <w:t>” question in this document</w:t>
            </w:r>
            <w:r w:rsidR="00350246">
              <w:rPr>
                <w:sz w:val="18"/>
                <w:szCs w:val="18"/>
              </w:rPr>
              <w:t xml:space="preserve"> </w:t>
            </w:r>
            <w:r w:rsidRPr="005A0DC2">
              <w:rPr>
                <w:sz w:val="18"/>
                <w:szCs w:val="18"/>
              </w:rPr>
              <w:t>for further information</w:t>
            </w:r>
          </w:p>
        </w:tc>
      </w:tr>
      <w:tr w:rsidR="00EA15D9" w14:paraId="6BA6EA5D" w14:textId="77777777" w:rsidTr="006559F8">
        <w:tc>
          <w:tcPr>
            <w:tcW w:w="9060" w:type="dxa"/>
            <w:gridSpan w:val="4"/>
          </w:tcPr>
          <w:p w14:paraId="236EC5CC" w14:textId="77777777" w:rsidR="00EA15D9" w:rsidRPr="00350246" w:rsidRDefault="00EA15D9" w:rsidP="006559F8">
            <w:pPr>
              <w:rPr>
                <w:b/>
                <w:bCs/>
              </w:rPr>
            </w:pPr>
            <w:r w:rsidRPr="00350246">
              <w:rPr>
                <w:b/>
                <w:bCs/>
              </w:rPr>
              <w:t>Following EHC</w:t>
            </w:r>
          </w:p>
        </w:tc>
      </w:tr>
      <w:tr w:rsidR="00EA15D9" w14:paraId="1AAECF79" w14:textId="77777777" w:rsidTr="006559F8">
        <w:tc>
          <w:tcPr>
            <w:tcW w:w="2265" w:type="dxa"/>
          </w:tcPr>
          <w:p w14:paraId="7D79E805" w14:textId="77777777" w:rsidR="00EA15D9" w:rsidRDefault="00EA15D9" w:rsidP="00EA15D9">
            <w:pPr>
              <w:pStyle w:val="ListParagraph"/>
              <w:numPr>
                <w:ilvl w:val="0"/>
                <w:numId w:val="31"/>
              </w:numPr>
            </w:pPr>
            <w:r>
              <w:t>LNG - EC</w:t>
            </w:r>
          </w:p>
        </w:tc>
        <w:tc>
          <w:tcPr>
            <w:tcW w:w="2265" w:type="dxa"/>
          </w:tcPr>
          <w:p w14:paraId="48C6F9EF" w14:textId="77777777" w:rsidR="00EA15D9" w:rsidRPr="00ED23F4" w:rsidRDefault="00EA15D9" w:rsidP="006559F8">
            <w:pPr>
              <w:rPr>
                <w:sz w:val="22"/>
              </w:rPr>
            </w:pPr>
            <w:r w:rsidRPr="00ED23F4">
              <w:rPr>
                <w:sz w:val="22"/>
              </w:rPr>
              <w:t>Can be started / restarted immediately</w:t>
            </w:r>
          </w:p>
        </w:tc>
        <w:tc>
          <w:tcPr>
            <w:tcW w:w="2265" w:type="dxa"/>
          </w:tcPr>
          <w:p w14:paraId="146F11E1" w14:textId="77777777" w:rsidR="00EA15D9" w:rsidRPr="00ED23F4" w:rsidRDefault="00EA15D9" w:rsidP="006559F8">
            <w:pPr>
              <w:rPr>
                <w:sz w:val="22"/>
              </w:rPr>
            </w:pPr>
            <w:r w:rsidRPr="00ED23F4">
              <w:rPr>
                <w:sz w:val="22"/>
              </w:rPr>
              <w:t>Yes – for first 48 hours</w:t>
            </w:r>
          </w:p>
        </w:tc>
        <w:tc>
          <w:tcPr>
            <w:tcW w:w="2265" w:type="dxa"/>
          </w:tcPr>
          <w:p w14:paraId="040DA63B" w14:textId="3ECC6ECA" w:rsidR="00EA15D9" w:rsidRPr="00ED23F4" w:rsidRDefault="00A36544" w:rsidP="006559F8">
            <w:pPr>
              <w:rPr>
                <w:sz w:val="22"/>
              </w:rPr>
            </w:pPr>
            <w:r w:rsidRPr="00ED23F4">
              <w:rPr>
                <w:sz w:val="22"/>
              </w:rPr>
              <w:t>Follow up pregnancy test at least 21 days after last UPSI</w:t>
            </w:r>
          </w:p>
        </w:tc>
      </w:tr>
      <w:tr w:rsidR="00EA15D9" w14:paraId="6D94B23D" w14:textId="77777777" w:rsidTr="006559F8">
        <w:tc>
          <w:tcPr>
            <w:tcW w:w="2265" w:type="dxa"/>
          </w:tcPr>
          <w:p w14:paraId="3F5A049D" w14:textId="77777777" w:rsidR="00EA15D9" w:rsidRDefault="00EA15D9" w:rsidP="00EA15D9">
            <w:pPr>
              <w:pStyle w:val="ListParagraph"/>
              <w:numPr>
                <w:ilvl w:val="0"/>
                <w:numId w:val="31"/>
              </w:numPr>
            </w:pPr>
            <w:r>
              <w:t>UPA – EC</w:t>
            </w:r>
          </w:p>
        </w:tc>
        <w:tc>
          <w:tcPr>
            <w:tcW w:w="2265" w:type="dxa"/>
          </w:tcPr>
          <w:p w14:paraId="7B6FC297" w14:textId="4A35ECFB" w:rsidR="00EA15D9" w:rsidRPr="00ED23F4" w:rsidRDefault="00EA15D9" w:rsidP="006559F8">
            <w:pPr>
              <w:rPr>
                <w:sz w:val="22"/>
              </w:rPr>
            </w:pPr>
            <w:r w:rsidRPr="00ED23F4">
              <w:rPr>
                <w:sz w:val="22"/>
              </w:rPr>
              <w:t>Delay starting for 5 days following E</w:t>
            </w:r>
            <w:r w:rsidR="00147B59" w:rsidRPr="00ED23F4">
              <w:rPr>
                <w:sz w:val="22"/>
              </w:rPr>
              <w:t>H</w:t>
            </w:r>
            <w:r w:rsidRPr="00ED23F4">
              <w:rPr>
                <w:sz w:val="22"/>
              </w:rPr>
              <w:t>C</w:t>
            </w:r>
          </w:p>
        </w:tc>
        <w:tc>
          <w:tcPr>
            <w:tcW w:w="2265" w:type="dxa"/>
          </w:tcPr>
          <w:p w14:paraId="0989069B" w14:textId="0D2A2092" w:rsidR="00EA15D9" w:rsidRPr="00ED23F4" w:rsidRDefault="00EA15D9" w:rsidP="006559F8">
            <w:pPr>
              <w:rPr>
                <w:sz w:val="22"/>
              </w:rPr>
            </w:pPr>
            <w:r w:rsidRPr="00ED23F4">
              <w:rPr>
                <w:sz w:val="22"/>
              </w:rPr>
              <w:t>Yes – for first 48 hours</w:t>
            </w:r>
          </w:p>
        </w:tc>
        <w:tc>
          <w:tcPr>
            <w:tcW w:w="2265" w:type="dxa"/>
          </w:tcPr>
          <w:p w14:paraId="68CF2393" w14:textId="17D5D2CA" w:rsidR="00EA15D9" w:rsidRPr="00ED23F4" w:rsidRDefault="00A36544" w:rsidP="006559F8">
            <w:pPr>
              <w:rPr>
                <w:sz w:val="22"/>
              </w:rPr>
            </w:pPr>
            <w:r w:rsidRPr="00ED23F4">
              <w:rPr>
                <w:sz w:val="22"/>
              </w:rPr>
              <w:t>Follow up pregnancy test at least 21 days after last UPSI</w:t>
            </w:r>
          </w:p>
        </w:tc>
      </w:tr>
      <w:tr w:rsidR="00350246" w14:paraId="72CF1AD0" w14:textId="77777777" w:rsidTr="00484998">
        <w:tc>
          <w:tcPr>
            <w:tcW w:w="9060" w:type="dxa"/>
            <w:gridSpan w:val="4"/>
          </w:tcPr>
          <w:p w14:paraId="341DB5AA" w14:textId="69909E37" w:rsidR="00350246" w:rsidRPr="00350246" w:rsidRDefault="00350246" w:rsidP="006559F8">
            <w:pPr>
              <w:rPr>
                <w:b/>
                <w:bCs/>
                <w:sz w:val="22"/>
              </w:rPr>
            </w:pPr>
            <w:r w:rsidRPr="00350246">
              <w:rPr>
                <w:b/>
                <w:bCs/>
              </w:rPr>
              <w:t>Changing from combined oral contraceptive (COC)</w:t>
            </w:r>
          </w:p>
        </w:tc>
      </w:tr>
      <w:tr w:rsidR="00EA15D9" w14:paraId="3C0DD908" w14:textId="77777777" w:rsidTr="006559F8">
        <w:tc>
          <w:tcPr>
            <w:tcW w:w="2265" w:type="dxa"/>
          </w:tcPr>
          <w:p w14:paraId="7C86C751" w14:textId="789C0300" w:rsidR="00EA15D9" w:rsidRDefault="00EA15D9" w:rsidP="006559F8"/>
        </w:tc>
        <w:tc>
          <w:tcPr>
            <w:tcW w:w="2265" w:type="dxa"/>
          </w:tcPr>
          <w:p w14:paraId="599963B0" w14:textId="77777777" w:rsidR="00EA15D9" w:rsidRPr="00ED23F4" w:rsidRDefault="00EA15D9" w:rsidP="006559F8">
            <w:pPr>
              <w:rPr>
                <w:sz w:val="22"/>
              </w:rPr>
            </w:pPr>
            <w:r w:rsidRPr="00ED23F4">
              <w:rPr>
                <w:sz w:val="22"/>
              </w:rPr>
              <w:t>Can be started immediately providing COC has been taken consistently and correctly.</w:t>
            </w:r>
          </w:p>
        </w:tc>
        <w:tc>
          <w:tcPr>
            <w:tcW w:w="2265" w:type="dxa"/>
          </w:tcPr>
          <w:p w14:paraId="6C923B1D" w14:textId="77777777" w:rsidR="00EA15D9" w:rsidRPr="00ED23F4" w:rsidRDefault="00EA15D9" w:rsidP="006559F8">
            <w:pPr>
              <w:rPr>
                <w:sz w:val="22"/>
              </w:rPr>
            </w:pPr>
            <w:r w:rsidRPr="00ED23F4">
              <w:rPr>
                <w:sz w:val="22"/>
              </w:rPr>
              <w:t>No</w:t>
            </w:r>
          </w:p>
        </w:tc>
        <w:tc>
          <w:tcPr>
            <w:tcW w:w="2265" w:type="dxa"/>
          </w:tcPr>
          <w:p w14:paraId="40F2C21E" w14:textId="77777777" w:rsidR="00EA15D9" w:rsidRPr="00ED23F4" w:rsidRDefault="00EA15D9" w:rsidP="006559F8">
            <w:pPr>
              <w:rPr>
                <w:sz w:val="22"/>
              </w:rPr>
            </w:pPr>
            <w:r w:rsidRPr="00ED23F4">
              <w:rPr>
                <w:sz w:val="22"/>
              </w:rPr>
              <w:t>Pharmacist must be reasonably certain patient is not pregnant and there has been no risk of conception.</w:t>
            </w:r>
          </w:p>
        </w:tc>
      </w:tr>
      <w:tr w:rsidR="00EA15D9" w14:paraId="4C624B15" w14:textId="77777777" w:rsidTr="006559F8">
        <w:tc>
          <w:tcPr>
            <w:tcW w:w="9060" w:type="dxa"/>
            <w:gridSpan w:val="4"/>
          </w:tcPr>
          <w:p w14:paraId="7A4BE377" w14:textId="77777777" w:rsidR="00EA15D9" w:rsidRPr="00350246" w:rsidRDefault="00EA15D9" w:rsidP="006559F8">
            <w:pPr>
              <w:rPr>
                <w:b/>
                <w:bCs/>
              </w:rPr>
            </w:pPr>
            <w:r w:rsidRPr="00350246">
              <w:rPr>
                <w:b/>
                <w:bCs/>
              </w:rPr>
              <w:t>After birth</w:t>
            </w:r>
          </w:p>
        </w:tc>
      </w:tr>
      <w:tr w:rsidR="00EA15D9" w14:paraId="56605ED2" w14:textId="77777777" w:rsidTr="006559F8">
        <w:tc>
          <w:tcPr>
            <w:tcW w:w="2265" w:type="dxa"/>
          </w:tcPr>
          <w:p w14:paraId="71E75265" w14:textId="77777777" w:rsidR="00EA15D9" w:rsidRDefault="00EA15D9" w:rsidP="00EA15D9">
            <w:pPr>
              <w:pStyle w:val="ListParagraph"/>
              <w:numPr>
                <w:ilvl w:val="0"/>
                <w:numId w:val="31"/>
              </w:numPr>
            </w:pPr>
            <w:r>
              <w:t>Up to Day 20</w:t>
            </w:r>
          </w:p>
        </w:tc>
        <w:tc>
          <w:tcPr>
            <w:tcW w:w="2265" w:type="dxa"/>
          </w:tcPr>
          <w:p w14:paraId="5250F0DD" w14:textId="2DB40BBA" w:rsidR="00EA15D9" w:rsidRDefault="00EA15D9" w:rsidP="006559F8"/>
        </w:tc>
        <w:tc>
          <w:tcPr>
            <w:tcW w:w="2265" w:type="dxa"/>
          </w:tcPr>
          <w:p w14:paraId="06353803" w14:textId="77777777" w:rsidR="00EA15D9" w:rsidRPr="00ED23F4" w:rsidRDefault="00EA15D9" w:rsidP="006559F8">
            <w:pPr>
              <w:rPr>
                <w:sz w:val="22"/>
              </w:rPr>
            </w:pPr>
            <w:r w:rsidRPr="00ED23F4">
              <w:rPr>
                <w:sz w:val="22"/>
              </w:rPr>
              <w:t xml:space="preserve">No </w:t>
            </w:r>
          </w:p>
        </w:tc>
        <w:tc>
          <w:tcPr>
            <w:tcW w:w="2265" w:type="dxa"/>
          </w:tcPr>
          <w:p w14:paraId="42B289E1" w14:textId="77777777" w:rsidR="00EA15D9" w:rsidRDefault="00EA15D9" w:rsidP="006559F8"/>
        </w:tc>
      </w:tr>
      <w:tr w:rsidR="00EA15D9" w14:paraId="1CA98BBB" w14:textId="77777777" w:rsidTr="006559F8">
        <w:tc>
          <w:tcPr>
            <w:tcW w:w="2265" w:type="dxa"/>
          </w:tcPr>
          <w:p w14:paraId="4A226F36" w14:textId="25B1AAAA" w:rsidR="00654764" w:rsidRDefault="00EA15D9" w:rsidP="00654764">
            <w:pPr>
              <w:pStyle w:val="ListParagraph"/>
              <w:numPr>
                <w:ilvl w:val="0"/>
                <w:numId w:val="31"/>
              </w:numPr>
            </w:pPr>
            <w:r>
              <w:t>Day 21 onwards</w:t>
            </w:r>
          </w:p>
        </w:tc>
        <w:tc>
          <w:tcPr>
            <w:tcW w:w="2265" w:type="dxa"/>
          </w:tcPr>
          <w:p w14:paraId="26114B0D" w14:textId="77777777" w:rsidR="00EA15D9" w:rsidRDefault="00EA15D9" w:rsidP="006559F8"/>
        </w:tc>
        <w:tc>
          <w:tcPr>
            <w:tcW w:w="2265" w:type="dxa"/>
          </w:tcPr>
          <w:p w14:paraId="007902CD" w14:textId="77777777" w:rsidR="00EA15D9" w:rsidRPr="00ED23F4" w:rsidRDefault="00EA15D9" w:rsidP="006559F8">
            <w:pPr>
              <w:rPr>
                <w:sz w:val="22"/>
              </w:rPr>
            </w:pPr>
            <w:r w:rsidRPr="00ED23F4">
              <w:rPr>
                <w:sz w:val="22"/>
              </w:rPr>
              <w:t>Yes – for first 48 hours</w:t>
            </w:r>
          </w:p>
        </w:tc>
        <w:tc>
          <w:tcPr>
            <w:tcW w:w="2265" w:type="dxa"/>
          </w:tcPr>
          <w:p w14:paraId="3D6D141E" w14:textId="77777777" w:rsidR="00EA15D9" w:rsidRDefault="00EA15D9" w:rsidP="006559F8"/>
        </w:tc>
      </w:tr>
      <w:tr w:rsidR="00EA15D9" w14:paraId="6B030D4C" w14:textId="77777777" w:rsidTr="006559F8">
        <w:tc>
          <w:tcPr>
            <w:tcW w:w="9060" w:type="dxa"/>
            <w:gridSpan w:val="4"/>
          </w:tcPr>
          <w:p w14:paraId="2F625928" w14:textId="77777777" w:rsidR="00EA15D9" w:rsidRPr="00350246" w:rsidRDefault="00EA15D9" w:rsidP="006559F8">
            <w:pPr>
              <w:rPr>
                <w:b/>
                <w:bCs/>
              </w:rPr>
            </w:pPr>
            <w:r w:rsidRPr="00350246">
              <w:rPr>
                <w:b/>
                <w:bCs/>
              </w:rPr>
              <w:t>Following miscarriage or termination (surgical or 2</w:t>
            </w:r>
            <w:r w:rsidRPr="00350246">
              <w:rPr>
                <w:b/>
                <w:bCs/>
                <w:vertAlign w:val="superscript"/>
              </w:rPr>
              <w:t>nd</w:t>
            </w:r>
            <w:r w:rsidRPr="00350246">
              <w:rPr>
                <w:b/>
                <w:bCs/>
              </w:rPr>
              <w:t xml:space="preserve"> part of medical termination)</w:t>
            </w:r>
          </w:p>
        </w:tc>
      </w:tr>
      <w:tr w:rsidR="00EA15D9" w14:paraId="2417E84C" w14:textId="77777777" w:rsidTr="006559F8">
        <w:tc>
          <w:tcPr>
            <w:tcW w:w="2265" w:type="dxa"/>
          </w:tcPr>
          <w:p w14:paraId="6F221E88" w14:textId="77777777" w:rsidR="00EA15D9" w:rsidRDefault="00EA15D9" w:rsidP="00EA15D9">
            <w:pPr>
              <w:pStyle w:val="ListParagraph"/>
              <w:numPr>
                <w:ilvl w:val="0"/>
                <w:numId w:val="31"/>
              </w:numPr>
            </w:pPr>
            <w:r>
              <w:t>On the day or up to 4 days following</w:t>
            </w:r>
          </w:p>
        </w:tc>
        <w:tc>
          <w:tcPr>
            <w:tcW w:w="2265" w:type="dxa"/>
          </w:tcPr>
          <w:p w14:paraId="0AFA466A" w14:textId="77777777" w:rsidR="00EA15D9" w:rsidRDefault="00EA15D9" w:rsidP="006559F8"/>
        </w:tc>
        <w:tc>
          <w:tcPr>
            <w:tcW w:w="2265" w:type="dxa"/>
          </w:tcPr>
          <w:p w14:paraId="3E6BFF7D" w14:textId="77777777" w:rsidR="00EA15D9" w:rsidRPr="00ED23F4" w:rsidRDefault="00EA15D9" w:rsidP="006559F8">
            <w:pPr>
              <w:rPr>
                <w:sz w:val="22"/>
              </w:rPr>
            </w:pPr>
            <w:r w:rsidRPr="00ED23F4">
              <w:rPr>
                <w:sz w:val="22"/>
              </w:rPr>
              <w:t>No</w:t>
            </w:r>
          </w:p>
        </w:tc>
        <w:tc>
          <w:tcPr>
            <w:tcW w:w="2265" w:type="dxa"/>
          </w:tcPr>
          <w:p w14:paraId="503533FA" w14:textId="77777777" w:rsidR="00EA15D9" w:rsidRDefault="00EA15D9" w:rsidP="006559F8"/>
        </w:tc>
      </w:tr>
      <w:tr w:rsidR="00EA15D9" w14:paraId="105ABDB2" w14:textId="77777777" w:rsidTr="006559F8">
        <w:tc>
          <w:tcPr>
            <w:tcW w:w="2265" w:type="dxa"/>
          </w:tcPr>
          <w:p w14:paraId="4437635B" w14:textId="77777777" w:rsidR="00EA15D9" w:rsidRDefault="00EA15D9" w:rsidP="00EA15D9">
            <w:pPr>
              <w:pStyle w:val="ListParagraph"/>
              <w:numPr>
                <w:ilvl w:val="0"/>
                <w:numId w:val="31"/>
              </w:numPr>
            </w:pPr>
            <w:r>
              <w:t>Day 5 onwards</w:t>
            </w:r>
          </w:p>
        </w:tc>
        <w:tc>
          <w:tcPr>
            <w:tcW w:w="2265" w:type="dxa"/>
          </w:tcPr>
          <w:p w14:paraId="1BEB794C" w14:textId="77777777" w:rsidR="00EA15D9" w:rsidRDefault="00EA15D9" w:rsidP="006559F8"/>
        </w:tc>
        <w:tc>
          <w:tcPr>
            <w:tcW w:w="2265" w:type="dxa"/>
          </w:tcPr>
          <w:p w14:paraId="339906EB" w14:textId="77777777" w:rsidR="00EA15D9" w:rsidRPr="00ED23F4" w:rsidRDefault="00EA15D9" w:rsidP="006559F8">
            <w:pPr>
              <w:rPr>
                <w:sz w:val="22"/>
              </w:rPr>
            </w:pPr>
            <w:r w:rsidRPr="00ED23F4">
              <w:rPr>
                <w:sz w:val="22"/>
              </w:rPr>
              <w:t>Yes – for first 48 hours</w:t>
            </w:r>
          </w:p>
        </w:tc>
        <w:tc>
          <w:tcPr>
            <w:tcW w:w="2265" w:type="dxa"/>
          </w:tcPr>
          <w:p w14:paraId="10AB2297" w14:textId="77777777" w:rsidR="00EA15D9" w:rsidRDefault="00EA15D9" w:rsidP="006559F8"/>
        </w:tc>
      </w:tr>
    </w:tbl>
    <w:p w14:paraId="1EF2AA9F" w14:textId="1386680C" w:rsidR="00350246" w:rsidRDefault="00350246">
      <w:pPr>
        <w:rPr>
          <w:rFonts w:eastAsiaTheme="majorEastAsia" w:cstheme="majorBidi"/>
          <w:b/>
          <w:color w:val="415D13" w:themeColor="accent2" w:themeShade="80"/>
          <w:szCs w:val="24"/>
        </w:rPr>
      </w:pPr>
    </w:p>
    <w:p w14:paraId="4A4224E0" w14:textId="78D8C14E" w:rsidR="00C56C6C" w:rsidRPr="00C56A6F" w:rsidRDefault="00006C35" w:rsidP="00C56A6F">
      <w:pPr>
        <w:pStyle w:val="Heading1"/>
        <w:rPr>
          <w:color w:val="415D13" w:themeColor="accent2" w:themeShade="80"/>
          <w:sz w:val="24"/>
          <w:szCs w:val="24"/>
        </w:rPr>
      </w:pPr>
      <w:bookmarkStart w:id="17" w:name="_Toc177475853"/>
      <w:r w:rsidRPr="00C56A6F">
        <w:rPr>
          <w:color w:val="415D13" w:themeColor="accent2" w:themeShade="80"/>
          <w:sz w:val="24"/>
          <w:szCs w:val="24"/>
        </w:rPr>
        <w:t>Which conditions are classed as UKMEC 3 or UKMEC 4?</w:t>
      </w:r>
      <w:bookmarkEnd w:id="17"/>
    </w:p>
    <w:p w14:paraId="2C99C176" w14:textId="77777777" w:rsidR="00F23E65" w:rsidRPr="00F23E65" w:rsidRDefault="00C9786A" w:rsidP="00F87940">
      <w:pPr>
        <w:pStyle w:val="Bulletnumbered1123"/>
        <w:numPr>
          <w:ilvl w:val="0"/>
          <w:numId w:val="0"/>
        </w:numPr>
        <w:ind w:left="360"/>
      </w:pPr>
      <w:r>
        <w:t xml:space="preserve">See </w:t>
      </w:r>
      <w:hyperlink r:id="rId16" w:history="1">
        <w:r w:rsidR="00F87940" w:rsidRPr="00BD4A8B">
          <w:rPr>
            <w:rStyle w:val="Hyperlink"/>
            <w:color w:val="415D13" w:themeColor="accent2" w:themeShade="80"/>
          </w:rPr>
          <w:t>UK Medical Eligibility Criteria for Contraceptive Use (UKMEC) - Faculty of Sexual and Reproductive Healthcare</w:t>
        </w:r>
      </w:hyperlink>
      <w:r w:rsidR="00F87940" w:rsidRPr="00BD4A8B">
        <w:rPr>
          <w:color w:val="415D13" w:themeColor="accent2" w:themeShade="80"/>
        </w:rPr>
        <w:t xml:space="preserve"> </w:t>
      </w:r>
      <w:r w:rsidR="00F87940">
        <w:t>(Accessed 16 September 2024)</w:t>
      </w:r>
      <w:r w:rsidR="007B5D4F">
        <w:t xml:space="preserve"> for further details.</w:t>
      </w:r>
    </w:p>
    <w:p w14:paraId="660E2ADF" w14:textId="47267939" w:rsidR="00507480" w:rsidRPr="00350773" w:rsidRDefault="00151604">
      <w:pPr>
        <w:rPr>
          <w:rFonts w:eastAsiaTheme="majorEastAsia" w:cstheme="majorBidi"/>
          <w:b/>
          <w:color w:val="415D13" w:themeColor="accent2" w:themeShade="80"/>
          <w:szCs w:val="24"/>
        </w:rPr>
      </w:pPr>
      <w:r w:rsidRPr="00151604">
        <w:rPr>
          <w:rFonts w:eastAsiaTheme="majorEastAsia" w:cstheme="majorBidi"/>
          <w:b/>
          <w:noProof/>
          <w:color w:val="415D13" w:themeColor="accent2" w:themeShade="80"/>
          <w:szCs w:val="24"/>
          <w:lang w:eastAsia="en-GB"/>
        </w:rPr>
        <w:drawing>
          <wp:inline distT="0" distB="0" distL="0" distR="0" wp14:anchorId="2A05690F" wp14:editId="0947E375">
            <wp:extent cx="5759450" cy="5694680"/>
            <wp:effectExtent l="0" t="0" r="0" b="1270"/>
            <wp:docPr id="868204340" name="Picture 1" descr="A medical condition information she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204340" name="Picture 1" descr="A medical condition information sheet&#10;&#10;Description automatically generated with medium confidence"/>
                    <pic:cNvPicPr/>
                  </pic:nvPicPr>
                  <pic:blipFill>
                    <a:blip r:embed="rId17"/>
                    <a:stretch>
                      <a:fillRect/>
                    </a:stretch>
                  </pic:blipFill>
                  <pic:spPr>
                    <a:xfrm>
                      <a:off x="0" y="0"/>
                      <a:ext cx="5759450" cy="5694680"/>
                    </a:xfrm>
                    <a:prstGeom prst="rect">
                      <a:avLst/>
                    </a:prstGeom>
                  </pic:spPr>
                </pic:pic>
              </a:graphicData>
            </a:graphic>
          </wp:inline>
        </w:drawing>
      </w:r>
    </w:p>
    <w:p w14:paraId="408DA9D3" w14:textId="77777777" w:rsidR="002B6B73" w:rsidRDefault="002B6B73">
      <w:pPr>
        <w:rPr>
          <w:rFonts w:eastAsiaTheme="majorEastAsia" w:cstheme="majorBidi"/>
          <w:b/>
          <w:color w:val="415D13" w:themeColor="accent2" w:themeShade="80"/>
          <w:szCs w:val="24"/>
        </w:rPr>
      </w:pPr>
      <w:r>
        <w:rPr>
          <w:color w:val="415D13" w:themeColor="accent2" w:themeShade="80"/>
          <w:szCs w:val="24"/>
        </w:rPr>
        <w:br w:type="page"/>
      </w:r>
    </w:p>
    <w:p w14:paraId="75D958B4" w14:textId="2BED100E" w:rsidR="00425A22" w:rsidRDefault="00F844E5" w:rsidP="0082461E">
      <w:pPr>
        <w:pStyle w:val="Heading1"/>
        <w:rPr>
          <w:color w:val="415D13" w:themeColor="accent2" w:themeShade="80"/>
          <w:sz w:val="24"/>
          <w:szCs w:val="24"/>
        </w:rPr>
      </w:pPr>
      <w:bookmarkStart w:id="18" w:name="_Toc177475854"/>
      <w:r>
        <w:rPr>
          <w:color w:val="415D13" w:themeColor="accent2" w:themeShade="80"/>
          <w:sz w:val="24"/>
          <w:szCs w:val="24"/>
        </w:rPr>
        <w:t>Which conditions are classed as UKMEC Category 2</w:t>
      </w:r>
      <w:r w:rsidR="009E3051">
        <w:rPr>
          <w:color w:val="415D13" w:themeColor="accent2" w:themeShade="80"/>
          <w:sz w:val="24"/>
          <w:szCs w:val="24"/>
        </w:rPr>
        <w:t>?</w:t>
      </w:r>
      <w:bookmarkEnd w:id="18"/>
    </w:p>
    <w:p w14:paraId="2E2CD6EB" w14:textId="77777777" w:rsidR="0082461E" w:rsidRPr="0082461E" w:rsidRDefault="0082461E" w:rsidP="008C6AB8">
      <w:pPr>
        <w:pStyle w:val="Bulletnumbered1123"/>
        <w:numPr>
          <w:ilvl w:val="0"/>
          <w:numId w:val="0"/>
        </w:numPr>
        <w:ind w:left="360"/>
      </w:pPr>
      <w:r>
        <w:t xml:space="preserve">UKMEC Category 2 conditions </w:t>
      </w:r>
      <w:r w:rsidR="008C6AB8">
        <w:t xml:space="preserve">– the advantages of using desogestrel generally outweigh the theoretical or proven risks.  See </w:t>
      </w:r>
      <w:hyperlink r:id="rId18" w:history="1">
        <w:r w:rsidR="008C6AB8" w:rsidRPr="00BD4A8B">
          <w:rPr>
            <w:rStyle w:val="Hyperlink"/>
            <w:color w:val="415D13" w:themeColor="accent2" w:themeShade="80"/>
          </w:rPr>
          <w:t>UK Medical Eligibility Criteria for Contraceptive Use (UKMEC) - Faculty of Sexual and Reproductive Healthcare</w:t>
        </w:r>
      </w:hyperlink>
      <w:r w:rsidR="008C6AB8" w:rsidRPr="00BD4A8B">
        <w:rPr>
          <w:color w:val="415D13" w:themeColor="accent2" w:themeShade="80"/>
        </w:rPr>
        <w:t xml:space="preserve"> </w:t>
      </w:r>
      <w:r w:rsidR="008C6AB8">
        <w:t>(Accessed 16 September 2024) for further details.</w:t>
      </w:r>
    </w:p>
    <w:p w14:paraId="310D4922" w14:textId="22481D99" w:rsidR="008C5FC1" w:rsidRPr="00C56A6F" w:rsidRDefault="00E73F8E" w:rsidP="00C56A6F">
      <w:pPr>
        <w:pStyle w:val="Heading1"/>
        <w:rPr>
          <w:color w:val="415D13" w:themeColor="accent2" w:themeShade="80"/>
          <w:sz w:val="24"/>
          <w:szCs w:val="24"/>
        </w:rPr>
      </w:pPr>
      <w:bookmarkStart w:id="19" w:name="_Toc177475855"/>
      <w:r w:rsidRPr="00C56A6F">
        <w:rPr>
          <w:color w:val="415D13" w:themeColor="accent2" w:themeShade="80"/>
          <w:sz w:val="24"/>
          <w:szCs w:val="24"/>
        </w:rPr>
        <w:t xml:space="preserve">When </w:t>
      </w:r>
      <w:r w:rsidR="00002573">
        <w:rPr>
          <w:color w:val="415D13" w:themeColor="accent2" w:themeShade="80"/>
          <w:sz w:val="24"/>
          <w:szCs w:val="24"/>
        </w:rPr>
        <w:t>can</w:t>
      </w:r>
      <w:r w:rsidRPr="00C56A6F">
        <w:rPr>
          <w:color w:val="415D13" w:themeColor="accent2" w:themeShade="80"/>
          <w:sz w:val="24"/>
          <w:szCs w:val="24"/>
        </w:rPr>
        <w:t xml:space="preserve"> a further 3 months </w:t>
      </w:r>
      <w:r w:rsidR="008C5FC1" w:rsidRPr="00C56A6F">
        <w:rPr>
          <w:color w:val="415D13" w:themeColor="accent2" w:themeShade="80"/>
          <w:sz w:val="24"/>
          <w:szCs w:val="24"/>
        </w:rPr>
        <w:t>of desogestrel be supplied to the same patient?</w:t>
      </w:r>
      <w:bookmarkEnd w:id="19"/>
    </w:p>
    <w:p w14:paraId="4AFF9594" w14:textId="77777777" w:rsidR="00FB1C65" w:rsidRPr="00F55FFA" w:rsidRDefault="008C5FC1">
      <w:r w:rsidRPr="00F55FFA">
        <w:t xml:space="preserve">Professional decision making will be required </w:t>
      </w:r>
      <w:r w:rsidR="00B15B3C" w:rsidRPr="00F55FFA">
        <w:t xml:space="preserve">to decide whether a second supply of 84 desogestrel tablets is appropriate.  </w:t>
      </w:r>
      <w:r w:rsidR="006E024B" w:rsidRPr="00F55FFA">
        <w:t xml:space="preserve">Consideration should be given to the patient’s </w:t>
      </w:r>
      <w:r w:rsidR="00FB0557" w:rsidRPr="00F55FFA">
        <w:t xml:space="preserve">ability to </w:t>
      </w:r>
      <w:r w:rsidR="006E024B" w:rsidRPr="00F55FFA">
        <w:t xml:space="preserve">access </w:t>
      </w:r>
      <w:r w:rsidR="00FB0557" w:rsidRPr="00F55FFA">
        <w:t>a</w:t>
      </w:r>
      <w:r w:rsidR="006E024B" w:rsidRPr="00F55FFA">
        <w:t xml:space="preserve"> continuing </w:t>
      </w:r>
      <w:r w:rsidR="00A73134" w:rsidRPr="00F55FFA">
        <w:t>supply from an alternative source</w:t>
      </w:r>
      <w:r w:rsidR="00FB0557" w:rsidRPr="00F55FFA">
        <w:t>, as well as the risk of unplanned pregnancy.</w:t>
      </w:r>
    </w:p>
    <w:p w14:paraId="673BA37F" w14:textId="77777777" w:rsidR="00FB1C65" w:rsidRDefault="00FB1C65">
      <w:pPr>
        <w:rPr>
          <w:color w:val="415D13" w:themeColor="accent2" w:themeShade="80"/>
        </w:rPr>
      </w:pPr>
      <w:r>
        <w:rPr>
          <w:color w:val="415D13" w:themeColor="accent2" w:themeShade="80"/>
        </w:rPr>
        <w:br w:type="page"/>
      </w:r>
    </w:p>
    <w:p w14:paraId="55632954" w14:textId="31776D8C" w:rsidR="00766C1A" w:rsidRDefault="00766C1A" w:rsidP="00766C1A">
      <w:pPr>
        <w:pStyle w:val="Heading1"/>
        <w:rPr>
          <w:color w:val="415D13" w:themeColor="accent2" w:themeShade="80"/>
          <w:sz w:val="24"/>
          <w:szCs w:val="24"/>
        </w:rPr>
      </w:pPr>
      <w:bookmarkStart w:id="20" w:name="_Toc177475856"/>
      <w:r w:rsidRPr="00766C1A">
        <w:rPr>
          <w:color w:val="415D13" w:themeColor="accent2" w:themeShade="80"/>
          <w:sz w:val="24"/>
          <w:szCs w:val="24"/>
        </w:rPr>
        <w:t>What is “Quick starting” contraception?</w:t>
      </w:r>
      <w:bookmarkEnd w:id="20"/>
    </w:p>
    <w:p w14:paraId="4FCC0BDE" w14:textId="77777777" w:rsidR="00CB3E69" w:rsidRPr="004F4E1F" w:rsidRDefault="001B1066" w:rsidP="00CB3E69">
      <w:pPr>
        <w:rPr>
          <w:b/>
          <w:bCs/>
          <w:color w:val="415D13" w:themeColor="accent2" w:themeShade="80"/>
        </w:rPr>
      </w:pPr>
      <w:hyperlink r:id="rId19" w:history="1">
        <w:r w:rsidR="00CB3E69" w:rsidRPr="004F4E1F">
          <w:rPr>
            <w:rStyle w:val="Hyperlink"/>
            <w:color w:val="415D13" w:themeColor="accent2" w:themeShade="80"/>
          </w:rPr>
          <w:t>FSRH Clinical Guideline: Quick Starting Contraception (April 2017) - Faculty of Sexual and Reproductive Healthcare</w:t>
        </w:r>
      </w:hyperlink>
    </w:p>
    <w:p w14:paraId="61F027FA" w14:textId="77777777" w:rsidR="00CB3E69" w:rsidRDefault="00CB3E69" w:rsidP="00CB3E69">
      <w:pPr>
        <w:pStyle w:val="ListParagraph"/>
        <w:numPr>
          <w:ilvl w:val="0"/>
          <w:numId w:val="32"/>
        </w:numPr>
      </w:pPr>
      <w:r>
        <w:t>Healthcare practitioners can be reasonably certain that a patient is not currently pregnant if any ONE or more of the following criteria are met and there are not signs or symptoms of pregnancy:</w:t>
      </w:r>
    </w:p>
    <w:p w14:paraId="553A83FA" w14:textId="77777777" w:rsidR="00CB3E69" w:rsidRDefault="00CB3E69" w:rsidP="00CB3E69">
      <w:pPr>
        <w:pStyle w:val="ListParagraph"/>
        <w:numPr>
          <w:ilvl w:val="0"/>
          <w:numId w:val="33"/>
        </w:numPr>
      </w:pPr>
      <w:r>
        <w:t>They have not had unprotected intercourse since the start of their last normal (natural) menstrual period, since childbirth, abortion, miscarriage, ectopic pregnancy or uterine evacuation for gestational trophoblastic disease.</w:t>
      </w:r>
    </w:p>
    <w:p w14:paraId="40E5E5B6" w14:textId="77777777" w:rsidR="00CB3E69" w:rsidRDefault="00CB3E69" w:rsidP="00CB3E69">
      <w:pPr>
        <w:pStyle w:val="ListParagraph"/>
        <w:numPr>
          <w:ilvl w:val="0"/>
          <w:numId w:val="33"/>
        </w:numPr>
      </w:pPr>
      <w:r>
        <w:t>They have been consistently and correctly using a reliable method of contraception (For the purposes of being reasonably certain that a patient is not currently pregnant, barrier methods of contraception can be considered reliable providing they have been used consistently and correctly for every episode of intercourse).</w:t>
      </w:r>
    </w:p>
    <w:p w14:paraId="4EAA536E" w14:textId="77777777" w:rsidR="00CB3E69" w:rsidRDefault="00CB3E69" w:rsidP="00CB3E69">
      <w:pPr>
        <w:pStyle w:val="ListParagraph"/>
        <w:numPr>
          <w:ilvl w:val="0"/>
          <w:numId w:val="33"/>
        </w:numPr>
      </w:pPr>
      <w:r>
        <w:t>They are within the first 5 days of the onset of a normal (natural) menstrual period.</w:t>
      </w:r>
    </w:p>
    <w:p w14:paraId="774F7468" w14:textId="77777777" w:rsidR="00CB3E69" w:rsidRDefault="00CB3E69" w:rsidP="00CB3E69">
      <w:pPr>
        <w:pStyle w:val="ListParagraph"/>
        <w:numPr>
          <w:ilvl w:val="0"/>
          <w:numId w:val="33"/>
        </w:numPr>
      </w:pPr>
      <w:r>
        <w:t>They are less than 21 days postpartum (non-breastfeeding women).</w:t>
      </w:r>
    </w:p>
    <w:p w14:paraId="3E31A4A1" w14:textId="77777777" w:rsidR="00CB3E69" w:rsidRDefault="00CB3E69" w:rsidP="00CB3E69">
      <w:pPr>
        <w:pStyle w:val="ListParagraph"/>
        <w:numPr>
          <w:ilvl w:val="0"/>
          <w:numId w:val="33"/>
        </w:numPr>
      </w:pPr>
      <w:r>
        <w:t>They are fully breastfeeding, amenorrhoeic AND less than 6 months postpartum.</w:t>
      </w:r>
    </w:p>
    <w:p w14:paraId="11858F3B" w14:textId="77777777" w:rsidR="00CB3E69" w:rsidRDefault="00CB3E69" w:rsidP="00CB3E69">
      <w:pPr>
        <w:pStyle w:val="ListParagraph"/>
        <w:numPr>
          <w:ilvl w:val="0"/>
          <w:numId w:val="33"/>
        </w:numPr>
      </w:pPr>
      <w:r>
        <w:t>They are within the first 5 days after abortion, miscarriage, ectopic pregnancy or uterine evacuation for gestational trophoblastic disease.</w:t>
      </w:r>
    </w:p>
    <w:p w14:paraId="4BD47CA3" w14:textId="77777777" w:rsidR="00CB3E69" w:rsidRDefault="00CB3E69" w:rsidP="00CB3E69">
      <w:pPr>
        <w:pStyle w:val="ListParagraph"/>
        <w:numPr>
          <w:ilvl w:val="0"/>
          <w:numId w:val="33"/>
        </w:numPr>
      </w:pPr>
      <w:r>
        <w:t>They have not had intercourse for &gt; 21 days AND has a negative high-sensitivity urine pregnancy test (able to detect hCG levels around 20mlU/ml).  (In pharmacy testing not required.)</w:t>
      </w:r>
    </w:p>
    <w:p w14:paraId="31BE4784" w14:textId="5203770D" w:rsidR="00CB3E69" w:rsidRDefault="00CB3E69" w:rsidP="00CB3E69">
      <w:pPr>
        <w:pStyle w:val="ListParagraph"/>
        <w:numPr>
          <w:ilvl w:val="0"/>
          <w:numId w:val="33"/>
        </w:numPr>
      </w:pPr>
      <w:r>
        <w:t>If a patient wishes to wait to start contraception once pregnancy is excluded, they should be advised to do so following a negative pregnancy test no sooner than three weeks following the last episode of UPSI (Vaginal bleeding following EHC cannot be relied on as a marker of non-pregnancy).</w:t>
      </w:r>
    </w:p>
    <w:p w14:paraId="6BCA65AC" w14:textId="77777777" w:rsidR="00CB3E69" w:rsidRDefault="00CB3E69" w:rsidP="00CB3E69">
      <w:pPr>
        <w:pStyle w:val="ListParagraph"/>
        <w:numPr>
          <w:ilvl w:val="0"/>
          <w:numId w:val="33"/>
        </w:numPr>
      </w:pPr>
      <w:r>
        <w:t>Additional contraception e.g., barrier method should be used for the first 2 days when desogestrel is started outwith the first 5 days of a normal menstrual period.</w:t>
      </w:r>
    </w:p>
    <w:p w14:paraId="565ECB41" w14:textId="394E5ED2" w:rsidR="00D92ADB" w:rsidRDefault="00CB3E69" w:rsidP="00D92ADB">
      <w:pPr>
        <w:pStyle w:val="ListParagraph"/>
        <w:numPr>
          <w:ilvl w:val="0"/>
          <w:numId w:val="33"/>
        </w:numPr>
      </w:pPr>
      <w:r>
        <w:t>When quick start is offered, the patient should be informed of the potential risks and advised to carry out a pregnancy test 21 days after last UPS</w:t>
      </w:r>
      <w:r w:rsidR="002505D6">
        <w:t>.</w:t>
      </w:r>
    </w:p>
    <w:p w14:paraId="6F909583" w14:textId="77777777" w:rsidR="00621945" w:rsidRPr="00D1706A" w:rsidRDefault="00621945" w:rsidP="00D1706A">
      <w:pPr>
        <w:pStyle w:val="Heading1"/>
        <w:rPr>
          <w:color w:val="415D13" w:themeColor="accent2" w:themeShade="80"/>
          <w:sz w:val="24"/>
          <w:szCs w:val="24"/>
        </w:rPr>
      </w:pPr>
      <w:bookmarkStart w:id="21" w:name="_Toc177475857"/>
      <w:r w:rsidRPr="00D1706A">
        <w:rPr>
          <w:color w:val="415D13" w:themeColor="accent2" w:themeShade="80"/>
          <w:sz w:val="24"/>
          <w:szCs w:val="24"/>
        </w:rPr>
        <w:t>What is the role of the community pharmacy in supporting people who disclose they have experienced rape or sexual assault?</w:t>
      </w:r>
      <w:bookmarkEnd w:id="21"/>
    </w:p>
    <w:p w14:paraId="678E1429" w14:textId="61B1DC2A" w:rsidR="00D155AF" w:rsidRPr="00D155AF" w:rsidRDefault="00D155AF" w:rsidP="00D34D04">
      <w:r w:rsidRPr="00D155AF">
        <w:t>At times of crisis many people struggle to identify services that may support them</w:t>
      </w:r>
      <w:r w:rsidR="00D34D04">
        <w:t xml:space="preserve"> - t</w:t>
      </w:r>
      <w:r w:rsidRPr="00D155AF">
        <w:t>his is particularly true in cases of sexual violence. For population groups who are further disadvantaged this may be compounded by barriers they already face in accessing care. The accessibility of community pharmacies could provide a valuable resource in supporting people who have experienced rape or sexual assault. </w:t>
      </w:r>
    </w:p>
    <w:p w14:paraId="63C70470" w14:textId="577F3323" w:rsidR="00D155AF" w:rsidRPr="00D155AF" w:rsidRDefault="00D155AF" w:rsidP="00D155AF">
      <w:r w:rsidRPr="00D155AF">
        <w:t>People who have experienced rape or sexual assault may need to access EHC and therefore attend their local pharmacy as a first step.</w:t>
      </w:r>
    </w:p>
    <w:p w14:paraId="650233F9" w14:textId="21D63A32" w:rsidR="00D155AF" w:rsidRDefault="00D155AF" w:rsidP="00D155AF">
      <w:r w:rsidRPr="00D155AF">
        <w:t>You may be seeing the person in the immediate aftermath of the rape, or asking if they are seeking EHC as a result of a sexual assault may lead to a disclosure of past abuse. Remember, people who have experienced rape or sexual assault can present in many different ways – upset, angry, completely calm, practical and business-like, distracted and dissociative, confused, or unsure of what actually happened</w:t>
      </w:r>
      <w:r w:rsidR="003B33A3">
        <w:t>.</w:t>
      </w:r>
    </w:p>
    <w:p w14:paraId="4D7A53FC" w14:textId="7DB06BEE" w:rsidR="00010C2D" w:rsidRPr="00D1706A" w:rsidRDefault="00B75EDC" w:rsidP="00D1706A">
      <w:pPr>
        <w:pStyle w:val="Heading1"/>
        <w:rPr>
          <w:color w:val="415D13" w:themeColor="accent2" w:themeShade="80"/>
          <w:sz w:val="24"/>
          <w:szCs w:val="24"/>
        </w:rPr>
      </w:pPr>
      <w:bookmarkStart w:id="22" w:name="_Toc177475858"/>
      <w:r w:rsidRPr="00D1706A">
        <w:rPr>
          <w:color w:val="415D13" w:themeColor="accent2" w:themeShade="80"/>
          <w:sz w:val="24"/>
          <w:szCs w:val="24"/>
        </w:rPr>
        <w:t>What is routine enquiry?</w:t>
      </w:r>
      <w:bookmarkEnd w:id="22"/>
    </w:p>
    <w:p w14:paraId="130E47D4" w14:textId="1A391F6A" w:rsidR="00337ACE" w:rsidRPr="00D155AF" w:rsidRDefault="00337ACE" w:rsidP="00D155AF">
      <w:r>
        <w:t>Routine enquiry means asking everyone that attends the pharmacy for EHC if they are doing so as a result of a rape or sexual assault.</w:t>
      </w:r>
      <w:r w:rsidR="00B75EDC">
        <w:t xml:space="preserve">  This is regardless of whether there are any indicators or suspicions of abuse.</w:t>
      </w:r>
    </w:p>
    <w:p w14:paraId="03FC19FB" w14:textId="77777777" w:rsidR="0048454C" w:rsidRDefault="0048454C" w:rsidP="0048454C">
      <w:r w:rsidRPr="0048454C">
        <w:t>As up to 90% of EHC consultations take place in community pharmacies, this provides an opportunity to sensitively enquire whether the need for EHC is the result of assault and provide information and referral to other services if needed.</w:t>
      </w:r>
    </w:p>
    <w:p w14:paraId="212B8BFB" w14:textId="713D3438" w:rsidR="00252817" w:rsidRDefault="00252817" w:rsidP="0048454C">
      <w:r>
        <w:t>You may feel unsure</w:t>
      </w:r>
      <w:r w:rsidR="009B777F">
        <w:t xml:space="preserve"> about what to say during routine enquiry or following disclosure and are concerned about causing distress.  This is understandable and reflects your care for your patients.</w:t>
      </w:r>
    </w:p>
    <w:p w14:paraId="0BAFD42F" w14:textId="0FF2229A" w:rsidR="00A82759" w:rsidRDefault="00A82759" w:rsidP="0048454C">
      <w:r>
        <w:t>Routine enquiry of domestic abuse and/or sexual abuse is already established in maternity, sexual health, health visiting, substance misuse and mental health settings in recognition of the disproportionate number of women accessing these services who have experience of abuse.</w:t>
      </w:r>
    </w:p>
    <w:p w14:paraId="5267BA0E" w14:textId="2350AE77" w:rsidR="0048454C" w:rsidRPr="00A82759" w:rsidRDefault="00A82759" w:rsidP="0048454C">
      <w:r>
        <w:t>It is important to think about when would be the most appropriate time during the consultation to ask the question?  It’s not the type of question that should be tagged on at the end of a consultation.</w:t>
      </w:r>
    </w:p>
    <w:p w14:paraId="09202D32" w14:textId="7D7E13D4" w:rsidR="00556BD4" w:rsidRDefault="0048454C" w:rsidP="0048454C">
      <w:r w:rsidRPr="0048454C">
        <w:t>A useful way of introducing the question is to set out the context of why you are asking, letting them know it is routine and that everyone seeking EHC is being asked. Reassure them that it is not for the purposes of informing the police. See below for an example of how you can do this, however it is important that you find a form of words that you are comfortable with.</w:t>
      </w:r>
    </w:p>
    <w:p w14:paraId="6994C6E9" w14:textId="3C513F34" w:rsidR="00556BD4" w:rsidRDefault="00556BD4" w:rsidP="0048454C">
      <w:r w:rsidRPr="008425C4">
        <w:rPr>
          <w:i/>
          <w:iCs/>
        </w:rPr>
        <w:t>Setting the context:</w:t>
      </w:r>
      <w:r>
        <w:t xml:space="preserve"> “We know that many people who are asking for EHC might be doing so because they didn’t consent to the sexual act and are afraid they may become pregnant, so we’re asking every woman who comes to us for contraception if this was the case</w:t>
      </w:r>
      <w:r w:rsidR="00102FB9">
        <w:t>.”</w:t>
      </w:r>
    </w:p>
    <w:p w14:paraId="5B2578E8" w14:textId="2DCF767F" w:rsidR="00102FB9" w:rsidRDefault="00102FB9" w:rsidP="0048454C">
      <w:r w:rsidRPr="008425C4">
        <w:rPr>
          <w:i/>
          <w:iCs/>
        </w:rPr>
        <w:t>Provide more information to help their understanding:</w:t>
      </w:r>
      <w:r>
        <w:t xml:space="preserve"> “It doesn’t have to have been forced or vio</w:t>
      </w:r>
      <w:r w:rsidR="00FD7AA1">
        <w:t>lent, because we know that for many women, they don’t have a choice or they might be unable to say no because of the consequences.”</w:t>
      </w:r>
    </w:p>
    <w:p w14:paraId="26E022E8" w14:textId="27C20A27" w:rsidR="008425C4" w:rsidRDefault="009B1CEA" w:rsidP="0048454C">
      <w:r w:rsidRPr="009B1CEA">
        <w:rPr>
          <w:i/>
          <w:iCs/>
        </w:rPr>
        <w:t>Asking the question</w:t>
      </w:r>
      <w:r>
        <w:t>: “Did you consent to your last sexual contact?” or “Are any of these points something that has happened to you?”.</w:t>
      </w:r>
    </w:p>
    <w:p w14:paraId="2214868A" w14:textId="3F91493D" w:rsidR="009B1CEA" w:rsidRDefault="009B1CEA" w:rsidP="0048454C">
      <w:r>
        <w:t>Do not ask if:</w:t>
      </w:r>
    </w:p>
    <w:p w14:paraId="58ACC90F" w14:textId="2ED45F46" w:rsidR="009B1CEA" w:rsidRDefault="009B1CEA" w:rsidP="009B1CEA">
      <w:pPr>
        <w:pStyle w:val="ListParagraph"/>
        <w:numPr>
          <w:ilvl w:val="0"/>
          <w:numId w:val="32"/>
        </w:numPr>
      </w:pPr>
      <w:r>
        <w:t>They cannot  be seen on their own</w:t>
      </w:r>
    </w:p>
    <w:p w14:paraId="583B07CD" w14:textId="09A77D80" w:rsidR="009B1CEA" w:rsidRDefault="009B1CEA" w:rsidP="009B1CEA">
      <w:pPr>
        <w:pStyle w:val="ListParagraph"/>
        <w:numPr>
          <w:ilvl w:val="0"/>
          <w:numId w:val="32"/>
        </w:numPr>
      </w:pPr>
      <w:r>
        <w:t>They don’t have adequate language support (friends and family must not be used as interpreters)</w:t>
      </w:r>
    </w:p>
    <w:p w14:paraId="428B6B31" w14:textId="5A39DF61" w:rsidR="00566C37" w:rsidRDefault="00566C37" w:rsidP="009B1CEA">
      <w:pPr>
        <w:pStyle w:val="ListParagraph"/>
        <w:numPr>
          <w:ilvl w:val="0"/>
          <w:numId w:val="32"/>
        </w:numPr>
      </w:pPr>
      <w:r>
        <w:t>They are in distress or crisis</w:t>
      </w:r>
    </w:p>
    <w:p w14:paraId="789C69DB" w14:textId="2B367410" w:rsidR="00566C37" w:rsidRDefault="00566C37" w:rsidP="009B1CEA">
      <w:pPr>
        <w:pStyle w:val="ListParagraph"/>
        <w:numPr>
          <w:ilvl w:val="0"/>
          <w:numId w:val="32"/>
        </w:numPr>
      </w:pPr>
      <w:r>
        <w:t>They are too heavily under the influence of alcohol or drugs</w:t>
      </w:r>
    </w:p>
    <w:p w14:paraId="60C516F6" w14:textId="767D888F" w:rsidR="00566C37" w:rsidRDefault="00566C37" w:rsidP="009B1CEA">
      <w:pPr>
        <w:pStyle w:val="ListParagraph"/>
        <w:numPr>
          <w:ilvl w:val="0"/>
          <w:numId w:val="32"/>
        </w:numPr>
      </w:pPr>
      <w:r>
        <w:t>It would be unsafe for you or the person</w:t>
      </w:r>
    </w:p>
    <w:p w14:paraId="3D70CF7D" w14:textId="67556BC0" w:rsidR="00566C37" w:rsidRDefault="00566C37" w:rsidP="009B1CEA">
      <w:pPr>
        <w:pStyle w:val="ListParagraph"/>
        <w:numPr>
          <w:ilvl w:val="0"/>
          <w:numId w:val="32"/>
        </w:numPr>
      </w:pPr>
      <w:r>
        <w:t>There is insufficient time to respond</w:t>
      </w:r>
    </w:p>
    <w:p w14:paraId="17D12F3B" w14:textId="35C3BD53" w:rsidR="001A4CCC" w:rsidRDefault="00566C37" w:rsidP="005D380A">
      <w:pPr>
        <w:pStyle w:val="ListParagraph"/>
        <w:numPr>
          <w:ilvl w:val="0"/>
          <w:numId w:val="32"/>
        </w:numPr>
      </w:pPr>
      <w:r>
        <w:t>You cannot have a private, confidential space to hold the conversation</w:t>
      </w:r>
    </w:p>
    <w:p w14:paraId="2D320D28" w14:textId="22BAEBB7" w:rsidR="001A4CCC" w:rsidRPr="00D1706A" w:rsidRDefault="001A4CCC" w:rsidP="00D1706A">
      <w:pPr>
        <w:pStyle w:val="Heading1"/>
        <w:rPr>
          <w:color w:val="415D13" w:themeColor="accent2" w:themeShade="80"/>
          <w:sz w:val="24"/>
          <w:szCs w:val="24"/>
        </w:rPr>
      </w:pPr>
      <w:bookmarkStart w:id="23" w:name="_Toc177475859"/>
      <w:r w:rsidRPr="00D1706A">
        <w:rPr>
          <w:color w:val="415D13" w:themeColor="accent2" w:themeShade="80"/>
          <w:sz w:val="24"/>
          <w:szCs w:val="24"/>
        </w:rPr>
        <w:t>What do I do if someone discloses they have been raped or sexually assaulted during the EHC consultation?</w:t>
      </w:r>
      <w:bookmarkEnd w:id="23"/>
    </w:p>
    <w:p w14:paraId="0B7CF6AE" w14:textId="5484E706" w:rsidR="001A4CCC" w:rsidRDefault="00F44DC3" w:rsidP="001A4CCC">
      <w:r>
        <w:t xml:space="preserve">Guidance is </w:t>
      </w:r>
      <w:r w:rsidR="00BF34E1">
        <w:t xml:space="preserve">currently </w:t>
      </w:r>
      <w:r>
        <w:t xml:space="preserve">available on the “Right Decisions” </w:t>
      </w:r>
      <w:r w:rsidRPr="00D42BD3">
        <w:t xml:space="preserve">website </w:t>
      </w:r>
      <w:hyperlink r:id="rId20" w:history="1">
        <w:r w:rsidR="00D42BD3" w:rsidRPr="00D42BD3">
          <w:rPr>
            <w:rStyle w:val="Hyperlink"/>
            <w:rFonts w:ascii="Calibri" w:hAnsi="Calibri" w:cs="Calibri"/>
            <w:color w:val="415D13" w:themeColor="accent2" w:themeShade="80"/>
          </w:rPr>
          <w:t>Disclosure of rape or sexual assault (SARCS) | Right Decisions (scot.nhs.uk)</w:t>
        </w:r>
      </w:hyperlink>
      <w:r w:rsidR="00D42BD3" w:rsidRPr="00D42BD3">
        <w:t xml:space="preserve">, which </w:t>
      </w:r>
      <w:r w:rsidR="00D42BD3">
        <w:t>can be printed</w:t>
      </w:r>
      <w:r w:rsidR="00DD530C">
        <w:t xml:space="preserve"> out for use in a pharmacy setting.</w:t>
      </w:r>
    </w:p>
    <w:p w14:paraId="3A1579C8" w14:textId="3EC4E92A" w:rsidR="00DD530C" w:rsidRDefault="00DD530C" w:rsidP="001A4CCC">
      <w:r>
        <w:t xml:space="preserve">There is a training module for all healthcare professionals </w:t>
      </w:r>
      <w:r w:rsidR="00866D3D">
        <w:t xml:space="preserve">in responding to disclosures of rape and sexual assault currently in development.  </w:t>
      </w:r>
      <w:r w:rsidR="008B256B">
        <w:t>Details of this will be communicated to the community pharmacy network when it becomes available</w:t>
      </w:r>
      <w:r w:rsidR="00B25A4B">
        <w:t>.</w:t>
      </w:r>
    </w:p>
    <w:p w14:paraId="4C8D9AB4" w14:textId="66978328" w:rsidR="00BF34E1" w:rsidRDefault="00BF34E1" w:rsidP="001A4CCC">
      <w:r>
        <w:t>The revised EHC assessment form has space for the pharmacist to note whether the</w:t>
      </w:r>
      <w:r w:rsidR="00112322">
        <w:t>re are any concerns in regard to unsafe relationships / adult protection issues or if there has been a disclosure of sexual assault / rape.</w:t>
      </w:r>
    </w:p>
    <w:p w14:paraId="03E40021" w14:textId="32D507DA" w:rsidR="00112322" w:rsidRDefault="00112322" w:rsidP="001A4CCC">
      <w:r>
        <w:t>If available, you should provide the ‘Turn to SARCS</w:t>
      </w:r>
      <w:r w:rsidR="001170C1">
        <w:t xml:space="preserve"> leaflet</w:t>
      </w:r>
      <w:r w:rsidR="00C4648B">
        <w:t>’</w:t>
      </w:r>
      <w:r w:rsidR="001170C1">
        <w:t xml:space="preserve">, as the person may not wish to take anything home with </w:t>
      </w:r>
      <w:r w:rsidR="00C4648B">
        <w:t>them.</w:t>
      </w:r>
    </w:p>
    <w:p w14:paraId="209B6ACB" w14:textId="7EC1967B" w:rsidR="00C4648B" w:rsidRPr="00D1706A" w:rsidRDefault="00C4648B" w:rsidP="00D1706A">
      <w:pPr>
        <w:pStyle w:val="Heading1"/>
        <w:rPr>
          <w:color w:val="415D13" w:themeColor="accent2" w:themeShade="80"/>
          <w:sz w:val="24"/>
          <w:szCs w:val="24"/>
        </w:rPr>
      </w:pPr>
      <w:bookmarkStart w:id="24" w:name="_Toc177475860"/>
      <w:r w:rsidRPr="00D1706A">
        <w:rPr>
          <w:color w:val="415D13" w:themeColor="accent2" w:themeShade="80"/>
          <w:sz w:val="24"/>
          <w:szCs w:val="24"/>
        </w:rPr>
        <w:t>What is a Sexual Assault Response Coordination Service (SARCS)?</w:t>
      </w:r>
      <w:bookmarkEnd w:id="24"/>
    </w:p>
    <w:p w14:paraId="405237C3" w14:textId="5EA0630F" w:rsidR="001A4CCC" w:rsidRDefault="00C4648B" w:rsidP="005D380A">
      <w:r>
        <w:t>A SARCS is a dedicated NHS service which provides the healthcare and support to people in the days after a rape or sexual assault.</w:t>
      </w:r>
    </w:p>
    <w:p w14:paraId="440EA1DA" w14:textId="1965C0F9" w:rsidR="00C4648B" w:rsidRDefault="00C4648B" w:rsidP="005D380A">
      <w:pPr>
        <w:rPr>
          <w:rStyle w:val="Hyperlink"/>
          <w:rFonts w:ascii="Calibri" w:hAnsi="Calibri" w:cs="Calibri"/>
          <w:color w:val="415D13" w:themeColor="accent2" w:themeShade="80"/>
          <w:szCs w:val="24"/>
        </w:rPr>
      </w:pPr>
      <w:r>
        <w:t xml:space="preserve">Health Boards in Scotland have a statutory duty to provide forensic medical services to people who have experienced rape or sexual assault.  The details of this duty are laid out in the </w:t>
      </w:r>
      <w:hyperlink r:id="rId21" w:history="1">
        <w:r w:rsidR="0016230E" w:rsidRPr="0016230E">
          <w:rPr>
            <w:rStyle w:val="Hyperlink"/>
            <w:rFonts w:ascii="Calibri" w:hAnsi="Calibri" w:cs="Calibri"/>
            <w:color w:val="415D13" w:themeColor="accent2" w:themeShade="80"/>
            <w:szCs w:val="24"/>
          </w:rPr>
          <w:t xml:space="preserve"> Forensic Medical Service (Victims of Sexual Offences) (Scotland) Act 2021 (FMS Act).</w:t>
        </w:r>
      </w:hyperlink>
    </w:p>
    <w:p w14:paraId="296F919E" w14:textId="5717EEB5" w:rsidR="002B5219" w:rsidRDefault="002B5219" w:rsidP="005D380A">
      <w:r w:rsidRPr="002B5219">
        <w:t>The FMS</w:t>
      </w:r>
      <w:r>
        <w:t xml:space="preserve"> Act also allows for people aged 16 </w:t>
      </w:r>
      <w:r w:rsidR="00B1483E">
        <w:t xml:space="preserve">years and over to </w:t>
      </w:r>
      <w:r w:rsidR="00F548A8">
        <w:t>self-refer</w:t>
      </w:r>
      <w:r w:rsidR="00B1483E">
        <w:t xml:space="preserve"> to a SARCS for a forensic medical examination (FME), subject to professional judgement.  This means that people can access a FME and healthcare </w:t>
      </w:r>
      <w:r w:rsidR="00EF2617">
        <w:t>at a SARCS, without first having to make a report to the police.</w:t>
      </w:r>
    </w:p>
    <w:p w14:paraId="3C158863" w14:textId="29BB11D4" w:rsidR="006176A8" w:rsidRDefault="006176A8" w:rsidP="005D380A">
      <w:r>
        <w:t xml:space="preserve">There is a SARCS in every Health Board area.  You should familiarise yourself with </w:t>
      </w:r>
      <w:r w:rsidR="008E4568">
        <w:t>the contact details / location of the centre closest to where you practise.</w:t>
      </w:r>
    </w:p>
    <w:p w14:paraId="24EEA8A4" w14:textId="1C78D84C" w:rsidR="008E4568" w:rsidRPr="002B5219" w:rsidRDefault="006825AD" w:rsidP="005D380A">
      <w:r>
        <w:t xml:space="preserve">Further information on SARCS can be accessed at </w:t>
      </w:r>
      <w:hyperlink r:id="rId22" w:history="1">
        <w:r w:rsidR="008A18AF" w:rsidRPr="008A18AF">
          <w:rPr>
            <w:rStyle w:val="Hyperlink"/>
            <w:rFonts w:ascii="Calibri" w:hAnsi="Calibri" w:cs="Calibri"/>
            <w:color w:val="415D13" w:themeColor="accent2" w:themeShade="80"/>
          </w:rPr>
          <w:t>Turn to SARCS | NHS inform</w:t>
        </w:r>
      </w:hyperlink>
    </w:p>
    <w:p w14:paraId="5ABE6323" w14:textId="77777777" w:rsidR="00FE27FE" w:rsidRDefault="008A18AF" w:rsidP="00FE27FE">
      <w:r w:rsidRPr="008A18AF">
        <w:t>As part</w:t>
      </w:r>
      <w:r>
        <w:t xml:space="preserve"> of the ‘Turn to SARCS</w:t>
      </w:r>
      <w:r w:rsidR="000F3742">
        <w:t>’ national awareness raising campaign, several information videos were developed to explain the role of SARCS</w:t>
      </w:r>
      <w:r w:rsidR="00FE27FE">
        <w:t>:</w:t>
      </w:r>
    </w:p>
    <w:p w14:paraId="0FA3FCD6" w14:textId="4605B4E4" w:rsidR="00C23217" w:rsidRPr="00C23217" w:rsidRDefault="001B1066" w:rsidP="00C23217">
      <w:pPr>
        <w:pStyle w:val="ListParagraph"/>
        <w:numPr>
          <w:ilvl w:val="0"/>
          <w:numId w:val="36"/>
        </w:numPr>
        <w:rPr>
          <w:rFonts w:ascii="Calibri" w:hAnsi="Calibri" w:cs="Calibri"/>
          <w:color w:val="415D13" w:themeColor="accent2" w:themeShade="80"/>
        </w:rPr>
      </w:pPr>
      <w:hyperlink r:id="rId23" w:history="1">
        <w:r w:rsidR="00C23217" w:rsidRPr="00C23217">
          <w:rPr>
            <w:rStyle w:val="Hyperlink"/>
            <w:rFonts w:ascii="Calibri" w:hAnsi="Calibri" w:cs="Calibri"/>
            <w:color w:val="415D13" w:themeColor="accent2" w:themeShade="80"/>
          </w:rPr>
          <w:t>Turn to SARCS promotional video Turn to SARCS (YouTube)</w:t>
        </w:r>
      </w:hyperlink>
    </w:p>
    <w:p w14:paraId="7D9CF4EA" w14:textId="19D0DD2A" w:rsidR="00C23217" w:rsidRPr="00C23217" w:rsidRDefault="001B1066" w:rsidP="00C23217">
      <w:pPr>
        <w:pStyle w:val="ListParagraph"/>
        <w:numPr>
          <w:ilvl w:val="0"/>
          <w:numId w:val="36"/>
        </w:numPr>
        <w:rPr>
          <w:rFonts w:ascii="Calibri" w:hAnsi="Calibri" w:cs="Calibri"/>
          <w:color w:val="415D13" w:themeColor="accent2" w:themeShade="80"/>
        </w:rPr>
      </w:pPr>
      <w:hyperlink r:id="rId24" w:history="1">
        <w:r w:rsidR="00C23217" w:rsidRPr="00C23217">
          <w:rPr>
            <w:rStyle w:val="Hyperlink"/>
            <w:rFonts w:ascii="Calibri" w:hAnsi="Calibri" w:cs="Calibri"/>
            <w:color w:val="415D13" w:themeColor="accent2" w:themeShade="80"/>
          </w:rPr>
          <w:t>What is a SARCS and how can it help? – (YouTube)</w:t>
        </w:r>
      </w:hyperlink>
    </w:p>
    <w:p w14:paraId="096CBFEE" w14:textId="77777777" w:rsidR="00C23217" w:rsidRDefault="001B1066" w:rsidP="00C23217">
      <w:pPr>
        <w:pStyle w:val="ListParagraph"/>
        <w:numPr>
          <w:ilvl w:val="0"/>
          <w:numId w:val="36"/>
        </w:numPr>
        <w:rPr>
          <w:rFonts w:ascii="Calibri" w:hAnsi="Calibri" w:cs="Calibri"/>
        </w:rPr>
      </w:pPr>
      <w:hyperlink r:id="rId25" w:history="1">
        <w:r w:rsidR="00C23217" w:rsidRPr="00C23217">
          <w:rPr>
            <w:rStyle w:val="Hyperlink"/>
            <w:rFonts w:ascii="Calibri" w:hAnsi="Calibri" w:cs="Calibri"/>
            <w:color w:val="415D13" w:themeColor="accent2" w:themeShade="80"/>
          </w:rPr>
          <w:t>How can the NHS Sexual Assault Response Coordination Service (SARCS) help me? (youtube.com)</w:t>
        </w:r>
      </w:hyperlink>
    </w:p>
    <w:p w14:paraId="1D400BF7" w14:textId="39505AF6" w:rsidR="00D92ADB" w:rsidRPr="00FE27FE" w:rsidRDefault="00D92ADB" w:rsidP="00FE27FE">
      <w:r w:rsidRPr="00FE27FE">
        <w:rPr>
          <w:color w:val="415D13" w:themeColor="accent2" w:themeShade="80"/>
          <w:szCs w:val="24"/>
        </w:rPr>
        <w:br w:type="page"/>
      </w:r>
    </w:p>
    <w:p w14:paraId="04D15374" w14:textId="615BE3D3" w:rsidR="00350246" w:rsidRPr="00123D6C" w:rsidRDefault="00176FA4" w:rsidP="00766C1A">
      <w:pPr>
        <w:pStyle w:val="Heading1"/>
        <w:rPr>
          <w:color w:val="415D13" w:themeColor="accent2" w:themeShade="80"/>
          <w:sz w:val="24"/>
          <w:szCs w:val="24"/>
        </w:rPr>
      </w:pPr>
      <w:bookmarkStart w:id="25" w:name="_Toc177475861"/>
      <w:r>
        <w:rPr>
          <w:color w:val="415D13" w:themeColor="accent2" w:themeShade="80"/>
          <w:sz w:val="24"/>
          <w:szCs w:val="24"/>
        </w:rPr>
        <w:t>Are there</w:t>
      </w:r>
      <w:r w:rsidR="00123D6C" w:rsidRPr="00123D6C">
        <w:rPr>
          <w:color w:val="415D13" w:themeColor="accent2" w:themeShade="80"/>
          <w:sz w:val="24"/>
          <w:szCs w:val="24"/>
        </w:rPr>
        <w:t xml:space="preserve"> leaflets available to give patients?</w:t>
      </w:r>
      <w:bookmarkEnd w:id="25"/>
    </w:p>
    <w:p w14:paraId="1D359787" w14:textId="64656002" w:rsidR="00AB48C2" w:rsidRDefault="00AE116C" w:rsidP="00302042">
      <w:r w:rsidRPr="00AE116C">
        <w:t>Patients can be directed to</w:t>
      </w:r>
      <w:r w:rsidR="008A6956">
        <w:t>:</w:t>
      </w:r>
    </w:p>
    <w:p w14:paraId="40DA7EAD" w14:textId="2C02DE33" w:rsidR="00302042" w:rsidRPr="006D171B" w:rsidRDefault="001B1066" w:rsidP="00302042">
      <w:pPr>
        <w:rPr>
          <w:color w:val="415D13" w:themeColor="accent2" w:themeShade="80"/>
        </w:rPr>
      </w:pPr>
      <w:hyperlink r:id="rId26" w:anchor="progestogen-only-pill-pop-mini-pill" w:history="1">
        <w:r w:rsidR="00735199" w:rsidRPr="00735199">
          <w:rPr>
            <w:rStyle w:val="Hyperlink"/>
            <w:color w:val="415D13" w:themeColor="accent2" w:themeShade="80"/>
          </w:rPr>
          <w:t>Contraception | NHS inform</w:t>
        </w:r>
      </w:hyperlink>
      <w:r w:rsidR="00735199" w:rsidRPr="00735199">
        <w:rPr>
          <w:color w:val="415D13" w:themeColor="accent2" w:themeShade="80"/>
        </w:rPr>
        <w:t xml:space="preserve"> </w:t>
      </w:r>
    </w:p>
    <w:p w14:paraId="47D971E5" w14:textId="7875235C" w:rsidR="00302042" w:rsidRDefault="00302042" w:rsidP="002505D6">
      <w:pPr>
        <w:ind w:left="1440" w:firstLine="720"/>
      </w:pPr>
      <w:r>
        <w:rPr>
          <w:noProof/>
          <w:lang w:eastAsia="en-GB"/>
        </w:rPr>
        <w:drawing>
          <wp:inline distT="0" distB="0" distL="0" distR="0" wp14:anchorId="654852B1" wp14:editId="71603EE6">
            <wp:extent cx="1104900" cy="1104900"/>
            <wp:effectExtent l="0" t="0" r="0" b="0"/>
            <wp:docPr id="151498564" name="Picture 1" descr="A qr code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98564" name="Picture 1" descr="A qr code with black dots&#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flipH="1">
                      <a:off x="0" y="0"/>
                      <a:ext cx="1104900" cy="1104900"/>
                    </a:xfrm>
                    <a:prstGeom prst="rect">
                      <a:avLst/>
                    </a:prstGeom>
                    <a:noFill/>
                    <a:ln>
                      <a:noFill/>
                    </a:ln>
                  </pic:spPr>
                </pic:pic>
              </a:graphicData>
            </a:graphic>
          </wp:inline>
        </w:drawing>
      </w:r>
    </w:p>
    <w:p w14:paraId="4D0168FA" w14:textId="03955AB1" w:rsidR="006B10E1" w:rsidRPr="006B10E1" w:rsidRDefault="001B1066" w:rsidP="006D171B">
      <w:pPr>
        <w:rPr>
          <w:color w:val="415D13" w:themeColor="accent2" w:themeShade="80"/>
        </w:rPr>
      </w:pPr>
      <w:hyperlink r:id="rId28" w:history="1">
        <w:r w:rsidR="006B10E1" w:rsidRPr="006B10E1">
          <w:rPr>
            <w:rStyle w:val="Hyperlink"/>
            <w:color w:val="415D13" w:themeColor="accent2" w:themeShade="80"/>
          </w:rPr>
          <w:t>Emergency contraception | Contraception Choices</w:t>
        </w:r>
      </w:hyperlink>
    </w:p>
    <w:p w14:paraId="40EBFB93" w14:textId="71CB9EAE" w:rsidR="00E77E07" w:rsidRDefault="00E77E07" w:rsidP="005B33FD">
      <w:pPr>
        <w:ind w:left="1440" w:firstLine="720"/>
        <w:rPr>
          <w:b/>
          <w:bCs/>
          <w:color w:val="FF0000"/>
        </w:rPr>
      </w:pPr>
      <w:r w:rsidRPr="00E77E07">
        <w:rPr>
          <w:b/>
          <w:bCs/>
          <w:noProof/>
          <w:color w:val="FF0000"/>
          <w:lang w:eastAsia="en-GB"/>
        </w:rPr>
        <w:drawing>
          <wp:inline distT="0" distB="0" distL="0" distR="0" wp14:anchorId="056A616A" wp14:editId="7C5AAEE7">
            <wp:extent cx="1168400" cy="1168400"/>
            <wp:effectExtent l="0" t="0" r="0" b="0"/>
            <wp:docPr id="195817287" name="Picture 1" descr="A qr code with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17287" name="Picture 1" descr="A qr code with dots&#10;&#10;Description automatically generated"/>
                    <pic:cNvPicPr/>
                  </pic:nvPicPr>
                  <pic:blipFill>
                    <a:blip r:embed="rId29"/>
                    <a:stretch>
                      <a:fillRect/>
                    </a:stretch>
                  </pic:blipFill>
                  <pic:spPr>
                    <a:xfrm>
                      <a:off x="0" y="0"/>
                      <a:ext cx="1168400" cy="1168400"/>
                    </a:xfrm>
                    <a:prstGeom prst="rect">
                      <a:avLst/>
                    </a:prstGeom>
                  </pic:spPr>
                </pic:pic>
              </a:graphicData>
            </a:graphic>
          </wp:inline>
        </w:drawing>
      </w:r>
    </w:p>
    <w:p w14:paraId="1D328672" w14:textId="15B1DCCB" w:rsidR="000A246D" w:rsidRPr="002505D6" w:rsidRDefault="001B1066">
      <w:pPr>
        <w:rPr>
          <w:color w:val="415D13" w:themeColor="accent2" w:themeShade="80"/>
        </w:rPr>
      </w:pPr>
      <w:hyperlink r:id="rId30" w:history="1">
        <w:r w:rsidR="00DF4EB4" w:rsidRPr="002505D6">
          <w:rPr>
            <w:rStyle w:val="Hyperlink"/>
            <w:color w:val="415D13" w:themeColor="accent2" w:themeShade="80"/>
          </w:rPr>
          <w:t>Emergency contraception | NHS inform</w:t>
        </w:r>
      </w:hyperlink>
    </w:p>
    <w:p w14:paraId="57EE4141" w14:textId="70014070" w:rsidR="00DF4EB4" w:rsidRPr="000B5101" w:rsidRDefault="00DF4EB4" w:rsidP="002505D6">
      <w:pPr>
        <w:ind w:left="1440" w:firstLine="720"/>
        <w:rPr>
          <w:b/>
          <w:bCs/>
          <w:color w:val="FF0000"/>
        </w:rPr>
      </w:pPr>
      <w:r w:rsidRPr="00DF4EB4">
        <w:rPr>
          <w:b/>
          <w:bCs/>
          <w:noProof/>
          <w:color w:val="FF0000"/>
          <w:lang w:eastAsia="en-GB"/>
        </w:rPr>
        <w:drawing>
          <wp:inline distT="0" distB="0" distL="0" distR="0" wp14:anchorId="7B12078A" wp14:editId="57987C8F">
            <wp:extent cx="1168400" cy="1168400"/>
            <wp:effectExtent l="0" t="0" r="0" b="0"/>
            <wp:docPr id="150182110" name="Picture 1" descr="A qr code with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82110" name="Picture 1" descr="A qr code with dots&#10;&#10;Description automatically generated"/>
                    <pic:cNvPicPr/>
                  </pic:nvPicPr>
                  <pic:blipFill>
                    <a:blip r:embed="rId31"/>
                    <a:stretch>
                      <a:fillRect/>
                    </a:stretch>
                  </pic:blipFill>
                  <pic:spPr>
                    <a:xfrm flipV="1">
                      <a:off x="0" y="0"/>
                      <a:ext cx="1168400" cy="1168400"/>
                    </a:xfrm>
                    <a:prstGeom prst="rect">
                      <a:avLst/>
                    </a:prstGeom>
                  </pic:spPr>
                </pic:pic>
              </a:graphicData>
            </a:graphic>
          </wp:inline>
        </w:drawing>
      </w:r>
    </w:p>
    <w:p w14:paraId="41A9D8ED" w14:textId="77777777" w:rsidR="00DF4EB4" w:rsidRDefault="00DF4EB4">
      <w:pPr>
        <w:rPr>
          <w:color w:val="415D13" w:themeColor="accent2" w:themeShade="80"/>
        </w:rPr>
      </w:pPr>
      <w:r>
        <w:rPr>
          <w:color w:val="415D13" w:themeColor="accent2" w:themeShade="80"/>
        </w:rPr>
        <w:br w:type="page"/>
      </w:r>
    </w:p>
    <w:p w14:paraId="2C17F726" w14:textId="13676A9C" w:rsidR="00763800" w:rsidRPr="0030108C" w:rsidRDefault="0009625C" w:rsidP="0030108C">
      <w:pPr>
        <w:pStyle w:val="Heading1"/>
        <w:rPr>
          <w:color w:val="415D13" w:themeColor="accent2" w:themeShade="80"/>
          <w:sz w:val="24"/>
          <w:szCs w:val="24"/>
        </w:rPr>
      </w:pPr>
      <w:bookmarkStart w:id="26" w:name="_Toc177475862"/>
      <w:r w:rsidRPr="0030108C">
        <w:rPr>
          <w:color w:val="415D13" w:themeColor="accent2" w:themeShade="80"/>
          <w:sz w:val="24"/>
          <w:szCs w:val="24"/>
        </w:rPr>
        <w:t>How do I claim for EHC or Bridging Contraception services?</w:t>
      </w:r>
      <w:bookmarkEnd w:id="26"/>
    </w:p>
    <w:p w14:paraId="7F157067" w14:textId="42BCC79B" w:rsidR="0009625C" w:rsidRDefault="004A4FC1">
      <w:r>
        <w:t>Claims for both EHC and Bridging Contraception should be submitted via Universal Claim Form</w:t>
      </w:r>
      <w:r w:rsidR="003F2338">
        <w:t xml:space="preserve"> (UCF) system.</w:t>
      </w:r>
    </w:p>
    <w:p w14:paraId="24C9F609" w14:textId="6DA82AC3" w:rsidR="009F2B9B" w:rsidRDefault="005D6D6C">
      <w:r>
        <w:t xml:space="preserve">EHC – </w:t>
      </w:r>
      <w:r w:rsidR="00545440">
        <w:t>as part of the update to the EHC service specification</w:t>
      </w:r>
      <w:r w:rsidR="001B0383">
        <w:t>,</w:t>
      </w:r>
      <w:r w:rsidR="00545440">
        <w:t xml:space="preserve"> </w:t>
      </w:r>
      <w:r>
        <w:t xml:space="preserve">payment will now be made for the completion of a consultation rather than just on supply.  </w:t>
      </w:r>
    </w:p>
    <w:tbl>
      <w:tblPr>
        <w:tblStyle w:val="TableGrid"/>
        <w:tblW w:w="0" w:type="auto"/>
        <w:tblLook w:val="04A0" w:firstRow="1" w:lastRow="0" w:firstColumn="1" w:lastColumn="0" w:noHBand="0" w:noVBand="1"/>
      </w:tblPr>
      <w:tblGrid>
        <w:gridCol w:w="2265"/>
        <w:gridCol w:w="1841"/>
        <w:gridCol w:w="2268"/>
        <w:gridCol w:w="2686"/>
      </w:tblGrid>
      <w:tr w:rsidR="009F2B9B" w14:paraId="52762B6D" w14:textId="77777777" w:rsidTr="00977996">
        <w:trPr>
          <w:cnfStyle w:val="100000000000" w:firstRow="1" w:lastRow="0" w:firstColumn="0" w:lastColumn="0" w:oddVBand="0" w:evenVBand="0" w:oddHBand="0" w:evenHBand="0" w:firstRowFirstColumn="0" w:firstRowLastColumn="0" w:lastRowFirstColumn="0" w:lastRowLastColumn="0"/>
        </w:trPr>
        <w:tc>
          <w:tcPr>
            <w:tcW w:w="2265" w:type="dxa"/>
            <w:shd w:val="clear" w:color="auto" w:fill="415D13" w:themeFill="accent2" w:themeFillShade="80"/>
            <w:vAlign w:val="center"/>
          </w:tcPr>
          <w:p w14:paraId="78B359D8" w14:textId="5122167B" w:rsidR="009F2B9B" w:rsidRPr="005113BB" w:rsidRDefault="009F2B9B" w:rsidP="001774DE">
            <w:pPr>
              <w:jc w:val="center"/>
              <w:rPr>
                <w:b/>
                <w:bCs/>
              </w:rPr>
            </w:pPr>
            <w:r>
              <w:rPr>
                <w:b/>
                <w:bCs/>
              </w:rPr>
              <w:t>Service</w:t>
            </w:r>
          </w:p>
        </w:tc>
        <w:tc>
          <w:tcPr>
            <w:tcW w:w="6795" w:type="dxa"/>
            <w:gridSpan w:val="3"/>
            <w:shd w:val="clear" w:color="auto" w:fill="auto"/>
            <w:vAlign w:val="center"/>
          </w:tcPr>
          <w:p w14:paraId="1FC13760" w14:textId="5A1936F5" w:rsidR="009F2B9B" w:rsidRPr="009F2B9B" w:rsidRDefault="009F2B9B" w:rsidP="001774DE">
            <w:pPr>
              <w:jc w:val="center"/>
              <w:rPr>
                <w:color w:val="auto"/>
              </w:rPr>
            </w:pPr>
            <w:r w:rsidRPr="009F2B9B">
              <w:rPr>
                <w:color w:val="auto"/>
              </w:rPr>
              <w:t>C</w:t>
            </w:r>
            <w:r>
              <w:rPr>
                <w:color w:val="auto"/>
              </w:rPr>
              <w:t>laim options</w:t>
            </w:r>
          </w:p>
        </w:tc>
      </w:tr>
      <w:tr w:rsidR="005E7432" w14:paraId="4B8B2DF5" w14:textId="77777777" w:rsidTr="00D143D9">
        <w:tc>
          <w:tcPr>
            <w:tcW w:w="2265" w:type="dxa"/>
            <w:shd w:val="clear" w:color="auto" w:fill="415D13" w:themeFill="accent2" w:themeFillShade="80"/>
            <w:vAlign w:val="center"/>
          </w:tcPr>
          <w:p w14:paraId="73764899" w14:textId="532B6228" w:rsidR="005E7432" w:rsidRDefault="005E7432" w:rsidP="007F2025">
            <w:r w:rsidRPr="002657D7">
              <w:rPr>
                <w:b/>
                <w:bCs/>
                <w:color w:val="FFFFFF" w:themeColor="background2"/>
              </w:rPr>
              <w:t>EHC</w:t>
            </w:r>
          </w:p>
        </w:tc>
        <w:tc>
          <w:tcPr>
            <w:tcW w:w="1841" w:type="dxa"/>
            <w:shd w:val="clear" w:color="auto" w:fill="auto"/>
            <w:vAlign w:val="center"/>
          </w:tcPr>
          <w:p w14:paraId="1BCC054D" w14:textId="38898485" w:rsidR="005E7432" w:rsidRPr="009F2B9B" w:rsidRDefault="005E7432" w:rsidP="007F2025">
            <w:r w:rsidRPr="009F2B9B">
              <w:t>Advice only</w:t>
            </w:r>
          </w:p>
        </w:tc>
        <w:tc>
          <w:tcPr>
            <w:tcW w:w="2268" w:type="dxa"/>
            <w:shd w:val="clear" w:color="auto" w:fill="auto"/>
            <w:vAlign w:val="center"/>
          </w:tcPr>
          <w:p w14:paraId="7CF42E37" w14:textId="5399EDBE" w:rsidR="005E7432" w:rsidRPr="009F2B9B" w:rsidRDefault="00370CA0" w:rsidP="007F2025">
            <w:r w:rsidRPr="009F2B9B">
              <w:t>Treatment supplied</w:t>
            </w:r>
          </w:p>
        </w:tc>
        <w:tc>
          <w:tcPr>
            <w:tcW w:w="2686" w:type="dxa"/>
            <w:shd w:val="clear" w:color="auto" w:fill="auto"/>
            <w:vAlign w:val="center"/>
          </w:tcPr>
          <w:p w14:paraId="3E9DEC9E" w14:textId="6D11249B" w:rsidR="005E7432" w:rsidRPr="009F2B9B" w:rsidRDefault="00C24D6E" w:rsidP="007F2025">
            <w:r w:rsidRPr="009F2B9B">
              <w:t>Refer to other healthcare professional</w:t>
            </w:r>
          </w:p>
        </w:tc>
      </w:tr>
      <w:tr w:rsidR="00C24D6E" w14:paraId="71ADC70C" w14:textId="77777777" w:rsidTr="00D143D9">
        <w:tc>
          <w:tcPr>
            <w:tcW w:w="2265" w:type="dxa"/>
            <w:shd w:val="clear" w:color="auto" w:fill="415D13" w:themeFill="accent2" w:themeFillShade="80"/>
            <w:vAlign w:val="center"/>
          </w:tcPr>
          <w:p w14:paraId="356EF190" w14:textId="61CE2D14" w:rsidR="00C24D6E" w:rsidRPr="005E7432" w:rsidRDefault="00C24D6E" w:rsidP="00C24D6E">
            <w:pPr>
              <w:rPr>
                <w:b/>
                <w:bCs/>
                <w:color w:val="FFFFFF" w:themeColor="background1"/>
              </w:rPr>
            </w:pPr>
            <w:r w:rsidRPr="005E7432">
              <w:rPr>
                <w:b/>
                <w:bCs/>
                <w:color w:val="FFFFFF" w:themeColor="background1"/>
              </w:rPr>
              <w:t>Bridging Contraception</w:t>
            </w:r>
          </w:p>
        </w:tc>
        <w:tc>
          <w:tcPr>
            <w:tcW w:w="1841" w:type="dxa"/>
            <w:vAlign w:val="center"/>
          </w:tcPr>
          <w:p w14:paraId="7C35E7D1" w14:textId="3668B299" w:rsidR="00C24D6E" w:rsidRPr="009F2B9B" w:rsidRDefault="00C24D6E" w:rsidP="00C24D6E">
            <w:r w:rsidRPr="009F2B9B">
              <w:t>Advice only</w:t>
            </w:r>
          </w:p>
        </w:tc>
        <w:tc>
          <w:tcPr>
            <w:tcW w:w="2268" w:type="dxa"/>
            <w:vAlign w:val="center"/>
          </w:tcPr>
          <w:p w14:paraId="3B0B3A35" w14:textId="699860A3" w:rsidR="00C24D6E" w:rsidRPr="009F2B9B" w:rsidRDefault="00C24D6E" w:rsidP="00C24D6E">
            <w:r w:rsidRPr="009F2B9B">
              <w:t>Treatment supplied</w:t>
            </w:r>
          </w:p>
        </w:tc>
        <w:tc>
          <w:tcPr>
            <w:tcW w:w="2686" w:type="dxa"/>
            <w:vAlign w:val="center"/>
          </w:tcPr>
          <w:p w14:paraId="38C4D1B4" w14:textId="15C02AE1" w:rsidR="00C24D6E" w:rsidRPr="009F2B9B" w:rsidRDefault="00C24D6E" w:rsidP="00C24D6E">
            <w:r w:rsidRPr="009F2B9B">
              <w:t>Refer to other healthcare professional</w:t>
            </w:r>
          </w:p>
        </w:tc>
      </w:tr>
      <w:tr w:rsidR="00C24D6E" w14:paraId="17225851" w14:textId="77777777" w:rsidTr="00D143D9">
        <w:tc>
          <w:tcPr>
            <w:tcW w:w="2265" w:type="dxa"/>
            <w:shd w:val="clear" w:color="auto" w:fill="415D13" w:themeFill="accent2" w:themeFillShade="80"/>
            <w:vAlign w:val="center"/>
          </w:tcPr>
          <w:p w14:paraId="32B9FD57" w14:textId="2596252C" w:rsidR="00C24D6E" w:rsidRPr="005E7432" w:rsidRDefault="00C24D6E" w:rsidP="00C24D6E">
            <w:pPr>
              <w:rPr>
                <w:b/>
                <w:bCs/>
                <w:color w:val="FFFFFF" w:themeColor="background1"/>
              </w:rPr>
            </w:pPr>
            <w:r w:rsidRPr="005E7432">
              <w:rPr>
                <w:b/>
                <w:bCs/>
                <w:color w:val="FFFFFF" w:themeColor="background1"/>
              </w:rPr>
              <w:t>EHC + Bridging Contraception</w:t>
            </w:r>
          </w:p>
        </w:tc>
        <w:tc>
          <w:tcPr>
            <w:tcW w:w="6795" w:type="dxa"/>
            <w:gridSpan w:val="3"/>
            <w:vAlign w:val="center"/>
          </w:tcPr>
          <w:p w14:paraId="4DD8F456" w14:textId="544E7557" w:rsidR="00C24D6E" w:rsidRPr="009F2B9B" w:rsidRDefault="00C24D6E" w:rsidP="00C24D6E">
            <w:r w:rsidRPr="009F2B9B">
              <w:t>This option has been removed from PMR systems. Claims should be processed separately under each element rather than using the joint option</w:t>
            </w:r>
            <w:r w:rsidR="003A5F68">
              <w:t>.</w:t>
            </w:r>
          </w:p>
        </w:tc>
      </w:tr>
    </w:tbl>
    <w:p w14:paraId="62AFED6C" w14:textId="77777777" w:rsidR="00563E4F" w:rsidRPr="007F2025" w:rsidRDefault="00563E4F" w:rsidP="007F2025"/>
    <w:p w14:paraId="5023CBC0" w14:textId="77777777" w:rsidR="006D1755" w:rsidRDefault="006D1755">
      <w:pPr>
        <w:rPr>
          <w:rFonts w:eastAsiaTheme="majorEastAsia" w:cstheme="majorBidi"/>
          <w:b/>
          <w:color w:val="415D13" w:themeColor="accent2" w:themeShade="80"/>
          <w:sz w:val="36"/>
          <w:szCs w:val="36"/>
        </w:rPr>
      </w:pPr>
      <w:r>
        <w:rPr>
          <w:color w:val="415D13" w:themeColor="accent2" w:themeShade="80"/>
        </w:rPr>
        <w:br w:type="page"/>
      </w:r>
    </w:p>
    <w:p w14:paraId="5A27EF4F" w14:textId="506F1274" w:rsidR="007639B5" w:rsidRPr="00B71757" w:rsidRDefault="00FA4C6A" w:rsidP="0061457C">
      <w:pPr>
        <w:pStyle w:val="Heading1numbered"/>
        <w:numPr>
          <w:ilvl w:val="0"/>
          <w:numId w:val="0"/>
        </w:numPr>
        <w:rPr>
          <w:color w:val="415D13" w:themeColor="accent2" w:themeShade="80"/>
        </w:rPr>
      </w:pPr>
      <w:bookmarkStart w:id="27" w:name="_Toc177475863"/>
      <w:r>
        <w:rPr>
          <w:color w:val="415D13" w:themeColor="accent2" w:themeShade="80"/>
        </w:rPr>
        <w:t>Flowchart for</w:t>
      </w:r>
      <w:r w:rsidR="00D772DF">
        <w:rPr>
          <w:color w:val="415D13" w:themeColor="accent2" w:themeShade="80"/>
        </w:rPr>
        <w:t xml:space="preserve"> Emergency Contraception (EC)</w:t>
      </w:r>
      <w:bookmarkEnd w:id="27"/>
    </w:p>
    <w:p w14:paraId="3335BF21" w14:textId="77777777" w:rsidR="00E71FF2" w:rsidRDefault="0061457C" w:rsidP="00F73AD5">
      <w:pPr>
        <w:rPr>
          <w:noProof/>
        </w:rPr>
      </w:pPr>
      <w:r>
        <w:t xml:space="preserve">Ulipristal Acetate (UPA-EC) versus Levonorgestrel (LNG-EC) if </w:t>
      </w:r>
      <w:r w:rsidR="00D464BA">
        <w:t>Copper IUD (</w:t>
      </w:r>
      <w:r w:rsidR="00FB00E3">
        <w:t>Cu-IUD</w:t>
      </w:r>
      <w:r w:rsidR="00D464BA">
        <w:t>) is not appropriate or acceptable.</w:t>
      </w:r>
      <w:r w:rsidR="00E71FF2" w:rsidRPr="00E71FF2">
        <w:rPr>
          <w:noProof/>
        </w:rPr>
        <w:t xml:space="preserve"> </w:t>
      </w:r>
    </w:p>
    <w:p w14:paraId="127FDF2E" w14:textId="29A3DDB5" w:rsidR="008C71A3" w:rsidRPr="00E91447" w:rsidRDefault="00E71FF2" w:rsidP="00F73AD5">
      <w:r>
        <w:rPr>
          <w:noProof/>
          <w:lang w:eastAsia="en-GB"/>
        </w:rPr>
        <w:drawing>
          <wp:inline distT="0" distB="0" distL="0" distR="0" wp14:anchorId="17E23F23" wp14:editId="4C804DC6">
            <wp:extent cx="7198705" cy="6200326"/>
            <wp:effectExtent l="3810" t="0" r="6350" b="6350"/>
            <wp:docPr id="628464902" name="Picture 1"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464902" name="Picture 1" descr="A diagram of a flowchart&#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rot="5400000">
                      <a:off x="0" y="0"/>
                      <a:ext cx="7228463" cy="6225957"/>
                    </a:xfrm>
                    <a:prstGeom prst="rect">
                      <a:avLst/>
                    </a:prstGeom>
                  </pic:spPr>
                </pic:pic>
              </a:graphicData>
            </a:graphic>
          </wp:inline>
        </w:drawing>
      </w:r>
    </w:p>
    <w:sectPr w:rsidR="008C71A3" w:rsidRPr="00E91447" w:rsidSect="004F3525">
      <w:headerReference w:type="even" r:id="rId33"/>
      <w:headerReference w:type="default" r:id="rId34"/>
      <w:footerReference w:type="default" r:id="rId35"/>
      <w:headerReference w:type="first" r:id="rId36"/>
      <w:footnotePr>
        <w:numFmt w:val="lowerRoman"/>
      </w:footnotePr>
      <w:endnotePr>
        <w:numFmt w:val="decimal"/>
      </w:endnotePr>
      <w:type w:val="continuous"/>
      <w:pgSz w:w="11906" w:h="16838"/>
      <w:pgMar w:top="1418" w:right="1418" w:bottom="1531" w:left="1418" w:header="680"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AB766" w14:textId="77777777" w:rsidR="000F4827" w:rsidRPr="008B0187" w:rsidRDefault="000F4827" w:rsidP="008B0187">
      <w:pPr>
        <w:pStyle w:val="Footer"/>
      </w:pPr>
    </w:p>
  </w:endnote>
  <w:endnote w:type="continuationSeparator" w:id="0">
    <w:p w14:paraId="6E9AAC36" w14:textId="77777777" w:rsidR="000F4827" w:rsidRDefault="000F4827"/>
  </w:endnote>
  <w:endnote w:type="continuationNotice" w:id="1">
    <w:p w14:paraId="6D794A62" w14:textId="77777777" w:rsidR="000F4827" w:rsidRDefault="000F48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75434"/>
      <w:docPartObj>
        <w:docPartGallery w:val="Page Numbers (Bottom of Page)"/>
        <w:docPartUnique/>
      </w:docPartObj>
    </w:sdtPr>
    <w:sdtEndPr/>
    <w:sdtContent>
      <w:sdt>
        <w:sdtPr>
          <w:id w:val="-705557575"/>
          <w:docPartObj>
            <w:docPartGallery w:val="Page Numbers (Bottom of Page)"/>
            <w:docPartUnique/>
          </w:docPartObj>
        </w:sdtPr>
        <w:sdtEndPr/>
        <w:sdtContent>
          <w:p w14:paraId="29986213" w14:textId="56E1A686" w:rsidR="006626E7" w:rsidRPr="00E4168E" w:rsidRDefault="00DA2708" w:rsidP="006626E7">
            <w:pPr>
              <w:pStyle w:val="Pagenumbers"/>
              <w:jc w:val="left"/>
              <w:rPr>
                <w:noProof w:val="0"/>
                <w:sz w:val="20"/>
                <w:szCs w:val="20"/>
              </w:rPr>
            </w:pPr>
            <w:r>
              <w:rPr>
                <w:noProof w:val="0"/>
                <w:sz w:val="20"/>
                <w:szCs w:val="20"/>
              </w:rPr>
              <w:t>Community Pharmacy Public Health Service</w:t>
            </w:r>
            <w:r w:rsidR="006626E7" w:rsidRPr="00E4168E">
              <w:rPr>
                <w:noProof w:val="0"/>
                <w:sz w:val="20"/>
                <w:szCs w:val="20"/>
              </w:rPr>
              <w:t xml:space="preserve"> </w:t>
            </w:r>
            <w:r w:rsidR="006626E7">
              <w:rPr>
                <w:noProof w:val="0"/>
                <w:sz w:val="20"/>
                <w:szCs w:val="20"/>
              </w:rPr>
              <w:tab/>
            </w:r>
            <w:r w:rsidR="006626E7">
              <w:rPr>
                <w:noProof w:val="0"/>
                <w:sz w:val="20"/>
                <w:szCs w:val="20"/>
              </w:rPr>
              <w:tab/>
            </w:r>
            <w:r w:rsidR="006626E7" w:rsidRPr="00E4168E">
              <w:rPr>
                <w:noProof w:val="0"/>
                <w:sz w:val="20"/>
                <w:szCs w:val="20"/>
              </w:rPr>
              <w:t xml:space="preserve">UNCONTROLLED WHEN PRINTED </w:t>
            </w:r>
          </w:p>
          <w:p w14:paraId="118E5321" w14:textId="02CC8913" w:rsidR="007825E0" w:rsidRPr="00B060A4" w:rsidRDefault="00816325" w:rsidP="00BD58E5">
            <w:pPr>
              <w:pStyle w:val="Pagenumbers"/>
              <w:jc w:val="left"/>
            </w:pPr>
            <w:r>
              <w:rPr>
                <w:noProof w:val="0"/>
                <w:sz w:val="20"/>
                <w:szCs w:val="20"/>
              </w:rPr>
              <w:t xml:space="preserve">EC/Bridging Contraception </w:t>
            </w:r>
            <w:r w:rsidR="006E0C23">
              <w:rPr>
                <w:noProof w:val="0"/>
                <w:sz w:val="20"/>
                <w:szCs w:val="20"/>
              </w:rPr>
              <w:t>Additional Guidanc</w:t>
            </w:r>
            <w:r w:rsidR="00E26552">
              <w:rPr>
                <w:noProof w:val="0"/>
                <w:sz w:val="20"/>
                <w:szCs w:val="20"/>
              </w:rPr>
              <w:t>e</w:t>
            </w:r>
            <w:r w:rsidR="00493AF0">
              <w:rPr>
                <w:noProof w:val="0"/>
                <w:sz w:val="20"/>
                <w:szCs w:val="20"/>
              </w:rPr>
              <w:t xml:space="preserve"> v1 </w:t>
            </w:r>
            <w:r w:rsidR="00DE37E2">
              <w:rPr>
                <w:noProof w:val="0"/>
                <w:sz w:val="20"/>
                <w:szCs w:val="20"/>
              </w:rPr>
              <w:t xml:space="preserve">September </w:t>
            </w:r>
            <w:r w:rsidR="00493AF0">
              <w:rPr>
                <w:noProof w:val="0"/>
                <w:sz w:val="20"/>
                <w:szCs w:val="20"/>
              </w:rPr>
              <w:t xml:space="preserve">2024  </w:t>
            </w:r>
            <w:r w:rsidR="00DE37E2">
              <w:rPr>
                <w:noProof w:val="0"/>
                <w:sz w:val="20"/>
                <w:szCs w:val="20"/>
              </w:rPr>
              <w:tab/>
            </w:r>
            <w:r w:rsidR="007334BD">
              <w:rPr>
                <w:noProof w:val="0"/>
                <w:sz w:val="20"/>
                <w:szCs w:val="20"/>
              </w:rPr>
              <w:t xml:space="preserve">Review </w:t>
            </w:r>
            <w:r w:rsidR="00DE37E2">
              <w:rPr>
                <w:noProof w:val="0"/>
                <w:sz w:val="20"/>
                <w:szCs w:val="20"/>
              </w:rPr>
              <w:t xml:space="preserve">September </w:t>
            </w:r>
            <w:r w:rsidR="007334BD">
              <w:rPr>
                <w:noProof w:val="0"/>
                <w:sz w:val="20"/>
                <w:szCs w:val="20"/>
              </w:rPr>
              <w:t>2026</w:t>
            </w:r>
            <w:r w:rsidR="00BD58E5">
              <w:rPr>
                <w:noProof w:val="0"/>
              </w:rPr>
              <w:tab/>
            </w:r>
            <w:r w:rsidR="007825E0">
              <w:fldChar w:fldCharType="begin"/>
            </w:r>
            <w:r w:rsidR="007825E0">
              <w:instrText xml:space="preserve"> PAGE   \* MERGEFORMAT </w:instrText>
            </w:r>
            <w:r w:rsidR="007825E0">
              <w:fldChar w:fldCharType="separate"/>
            </w:r>
            <w:r w:rsidR="001B1066">
              <w:t>1</w:t>
            </w:r>
            <w:r w:rsidR="007825E0">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78B2B" w14:textId="77777777" w:rsidR="000F4827" w:rsidRDefault="000F4827">
      <w:bookmarkStart w:id="0" w:name="_Hlk155877795"/>
      <w:bookmarkEnd w:id="0"/>
      <w:r>
        <w:separator/>
      </w:r>
    </w:p>
  </w:footnote>
  <w:footnote w:type="continuationSeparator" w:id="0">
    <w:p w14:paraId="16DD04BE" w14:textId="77777777" w:rsidR="000F4827" w:rsidRDefault="000F4827" w:rsidP="00151D33">
      <w:r>
        <w:continuationSeparator/>
      </w:r>
    </w:p>
    <w:p w14:paraId="380B9962" w14:textId="77777777" w:rsidR="000F4827" w:rsidRDefault="000F4827" w:rsidP="00151D33"/>
    <w:p w14:paraId="30080C76" w14:textId="77777777" w:rsidR="000F4827" w:rsidRDefault="000F4827"/>
  </w:footnote>
  <w:footnote w:type="continuationNotice" w:id="1">
    <w:p w14:paraId="13F99AD7" w14:textId="77777777" w:rsidR="000F4827" w:rsidRDefault="000F482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56F19" w14:textId="208836B0" w:rsidR="00D60D3C" w:rsidRDefault="00D60D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770BD" w14:textId="24A6B0D1" w:rsidR="00D60D3C" w:rsidRDefault="00D60D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76FB4" w14:textId="3F9A6101" w:rsidR="00D60D3C" w:rsidRDefault="00D60D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02658"/>
    <w:multiLevelType w:val="hybridMultilevel"/>
    <w:tmpl w:val="6890E59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062E40AD"/>
    <w:multiLevelType w:val="hybridMultilevel"/>
    <w:tmpl w:val="D6900ECA"/>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2" w15:restartNumberingAfterBreak="0">
    <w:nsid w:val="087D47CE"/>
    <w:multiLevelType w:val="multilevel"/>
    <w:tmpl w:val="CA78EF3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6D2621"/>
    <w:multiLevelType w:val="hybridMultilevel"/>
    <w:tmpl w:val="5706E262"/>
    <w:lvl w:ilvl="0" w:tplc="D56636FE">
      <w:start w:val="1"/>
      <w:numFmt w:val="bullet"/>
      <w:pStyle w:val="Bullet3"/>
      <w:lvlText w:val=""/>
      <w:lvlJc w:val="left"/>
      <w:pPr>
        <w:ind w:left="2194" w:hanging="360"/>
      </w:pPr>
      <w:rPr>
        <w:rFonts w:ascii="Wingdings" w:hAnsi="Wingdings" w:hint="default"/>
      </w:rPr>
    </w:lvl>
    <w:lvl w:ilvl="1" w:tplc="08090003" w:tentative="1">
      <w:start w:val="1"/>
      <w:numFmt w:val="bullet"/>
      <w:lvlText w:val="o"/>
      <w:lvlJc w:val="left"/>
      <w:pPr>
        <w:ind w:left="2914" w:hanging="360"/>
      </w:pPr>
      <w:rPr>
        <w:rFonts w:ascii="Courier New" w:hAnsi="Courier New" w:cs="Courier New" w:hint="default"/>
      </w:rPr>
    </w:lvl>
    <w:lvl w:ilvl="2" w:tplc="08090005" w:tentative="1">
      <w:start w:val="1"/>
      <w:numFmt w:val="bullet"/>
      <w:lvlText w:val=""/>
      <w:lvlJc w:val="left"/>
      <w:pPr>
        <w:ind w:left="3634" w:hanging="360"/>
      </w:pPr>
      <w:rPr>
        <w:rFonts w:ascii="Wingdings" w:hAnsi="Wingdings" w:hint="default"/>
      </w:rPr>
    </w:lvl>
    <w:lvl w:ilvl="3" w:tplc="08090001" w:tentative="1">
      <w:start w:val="1"/>
      <w:numFmt w:val="bullet"/>
      <w:lvlText w:val=""/>
      <w:lvlJc w:val="left"/>
      <w:pPr>
        <w:ind w:left="4354" w:hanging="360"/>
      </w:pPr>
      <w:rPr>
        <w:rFonts w:ascii="Symbol" w:hAnsi="Symbol" w:hint="default"/>
      </w:rPr>
    </w:lvl>
    <w:lvl w:ilvl="4" w:tplc="08090003" w:tentative="1">
      <w:start w:val="1"/>
      <w:numFmt w:val="bullet"/>
      <w:lvlText w:val="o"/>
      <w:lvlJc w:val="left"/>
      <w:pPr>
        <w:ind w:left="5074" w:hanging="360"/>
      </w:pPr>
      <w:rPr>
        <w:rFonts w:ascii="Courier New" w:hAnsi="Courier New" w:cs="Courier New" w:hint="default"/>
      </w:rPr>
    </w:lvl>
    <w:lvl w:ilvl="5" w:tplc="08090005" w:tentative="1">
      <w:start w:val="1"/>
      <w:numFmt w:val="bullet"/>
      <w:lvlText w:val=""/>
      <w:lvlJc w:val="left"/>
      <w:pPr>
        <w:ind w:left="5794" w:hanging="360"/>
      </w:pPr>
      <w:rPr>
        <w:rFonts w:ascii="Wingdings" w:hAnsi="Wingdings" w:hint="default"/>
      </w:rPr>
    </w:lvl>
    <w:lvl w:ilvl="6" w:tplc="08090001" w:tentative="1">
      <w:start w:val="1"/>
      <w:numFmt w:val="bullet"/>
      <w:lvlText w:val=""/>
      <w:lvlJc w:val="left"/>
      <w:pPr>
        <w:ind w:left="6514" w:hanging="360"/>
      </w:pPr>
      <w:rPr>
        <w:rFonts w:ascii="Symbol" w:hAnsi="Symbol" w:hint="default"/>
      </w:rPr>
    </w:lvl>
    <w:lvl w:ilvl="7" w:tplc="08090003" w:tentative="1">
      <w:start w:val="1"/>
      <w:numFmt w:val="bullet"/>
      <w:lvlText w:val="o"/>
      <w:lvlJc w:val="left"/>
      <w:pPr>
        <w:ind w:left="7234" w:hanging="360"/>
      </w:pPr>
      <w:rPr>
        <w:rFonts w:ascii="Courier New" w:hAnsi="Courier New" w:cs="Courier New" w:hint="default"/>
      </w:rPr>
    </w:lvl>
    <w:lvl w:ilvl="8" w:tplc="08090005" w:tentative="1">
      <w:start w:val="1"/>
      <w:numFmt w:val="bullet"/>
      <w:lvlText w:val=""/>
      <w:lvlJc w:val="left"/>
      <w:pPr>
        <w:ind w:left="7954" w:hanging="360"/>
      </w:pPr>
      <w:rPr>
        <w:rFonts w:ascii="Wingdings" w:hAnsi="Wingdings" w:hint="default"/>
      </w:rPr>
    </w:lvl>
  </w:abstractNum>
  <w:abstractNum w:abstractNumId="4" w15:restartNumberingAfterBreak="0">
    <w:nsid w:val="1741493E"/>
    <w:multiLevelType w:val="hybridMultilevel"/>
    <w:tmpl w:val="621C6454"/>
    <w:lvl w:ilvl="0" w:tplc="2CCABE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BC4987"/>
    <w:multiLevelType w:val="hybridMultilevel"/>
    <w:tmpl w:val="E5E6693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1CA636E7"/>
    <w:multiLevelType w:val="multilevel"/>
    <w:tmpl w:val="71902B66"/>
    <w:lvl w:ilvl="0">
      <w:start w:val="1"/>
      <w:numFmt w:val="decimal"/>
      <w:pStyle w:val="Tablebulletnumbered1123"/>
      <w:lvlText w:val="%1."/>
      <w:lvlJc w:val="left"/>
      <w:pPr>
        <w:tabs>
          <w:tab w:val="num" w:pos="284"/>
        </w:tabs>
        <w:ind w:left="284" w:hanging="284"/>
      </w:pPr>
      <w:rPr>
        <w:rFonts w:hint="default"/>
      </w:rPr>
    </w:lvl>
    <w:lvl w:ilvl="1">
      <w:start w:val="1"/>
      <w:numFmt w:val="lowerLetter"/>
      <w:pStyle w:val="Tablebulletnumbered2abc"/>
      <w:lvlText w:val="%2."/>
      <w:lvlJc w:val="left"/>
      <w:pPr>
        <w:tabs>
          <w:tab w:val="num" w:pos="567"/>
        </w:tabs>
        <w:ind w:left="567" w:hanging="28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4E04C6B"/>
    <w:multiLevelType w:val="hybridMultilevel"/>
    <w:tmpl w:val="480EC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586727"/>
    <w:multiLevelType w:val="hybridMultilevel"/>
    <w:tmpl w:val="B4883DBA"/>
    <w:lvl w:ilvl="0" w:tplc="81809D90">
      <w:start w:val="1"/>
      <w:numFmt w:val="bullet"/>
      <w:pStyle w:val="Tablebullet1"/>
      <w:lvlText w:val=""/>
      <w:lvlJc w:val="left"/>
      <w:pPr>
        <w:ind w:left="720" w:hanging="360"/>
      </w:pPr>
      <w:rPr>
        <w:rFonts w:ascii="Symbol" w:hAnsi="Symbol" w:hint="default"/>
      </w:rPr>
    </w:lvl>
    <w:lvl w:ilvl="1" w:tplc="76ECB9A6">
      <w:start w:val="1"/>
      <w:numFmt w:val="bullet"/>
      <w:pStyle w:val="Table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6E0223"/>
    <w:multiLevelType w:val="multilevel"/>
    <w:tmpl w:val="4288B0E0"/>
    <w:lvl w:ilvl="0">
      <w:start w:val="1"/>
      <w:numFmt w:val="decimal"/>
      <w:pStyle w:val="Bulletnumbered1123"/>
      <w:lvlText w:val="%1."/>
      <w:lvlJc w:val="left"/>
      <w:pPr>
        <w:ind w:left="697" w:hanging="337"/>
      </w:pPr>
      <w:rPr>
        <w:rFonts w:hint="default"/>
      </w:rPr>
    </w:lvl>
    <w:lvl w:ilvl="1">
      <w:start w:val="1"/>
      <w:numFmt w:val="lowerLetter"/>
      <w:lvlRestart w:val="0"/>
      <w:pStyle w:val="Bulletnumbered2abc"/>
      <w:lvlText w:val="%2."/>
      <w:lvlJc w:val="left"/>
      <w:pPr>
        <w:ind w:left="1440" w:hanging="360"/>
      </w:pPr>
      <w:rPr>
        <w:rFonts w:hint="default"/>
      </w:rPr>
    </w:lvl>
    <w:lvl w:ilvl="2">
      <w:start w:val="1"/>
      <w:numFmt w:val="lowerRoman"/>
      <w:pStyle w:val="Bulletnumbered3iii"/>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94C08CE"/>
    <w:multiLevelType w:val="hybridMultilevel"/>
    <w:tmpl w:val="11BEE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FA7177"/>
    <w:multiLevelType w:val="multilevel"/>
    <w:tmpl w:val="1E8A0C6C"/>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425" w:firstLine="0"/>
      </w:pPr>
      <w:rPr>
        <w:rFonts w:hint="default"/>
        <w:color w:val="415D13" w:themeColor="accent2" w:themeShade="80"/>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2" w15:restartNumberingAfterBreak="0">
    <w:nsid w:val="321D3884"/>
    <w:multiLevelType w:val="hybridMultilevel"/>
    <w:tmpl w:val="1D7A48C4"/>
    <w:lvl w:ilvl="0" w:tplc="08090001">
      <w:start w:val="1"/>
      <w:numFmt w:val="bullet"/>
      <w:lvlText w:val=""/>
      <w:lvlJc w:val="left"/>
      <w:pPr>
        <w:ind w:left="780" w:hanging="360"/>
      </w:pPr>
      <w:rPr>
        <w:rFonts w:ascii="Symbol" w:hAnsi="Symbol"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3" w15:restartNumberingAfterBreak="0">
    <w:nsid w:val="36D41AAD"/>
    <w:multiLevelType w:val="hybridMultilevel"/>
    <w:tmpl w:val="47B2E53C"/>
    <w:lvl w:ilvl="0" w:tplc="08090001">
      <w:start w:val="1"/>
      <w:numFmt w:val="bullet"/>
      <w:lvlText w:val=""/>
      <w:lvlJc w:val="left"/>
      <w:pPr>
        <w:ind w:left="1310" w:hanging="360"/>
      </w:pPr>
      <w:rPr>
        <w:rFonts w:ascii="Symbol" w:hAnsi="Symbol" w:hint="default"/>
      </w:rPr>
    </w:lvl>
    <w:lvl w:ilvl="1" w:tplc="08090003" w:tentative="1">
      <w:start w:val="1"/>
      <w:numFmt w:val="bullet"/>
      <w:lvlText w:val="o"/>
      <w:lvlJc w:val="left"/>
      <w:pPr>
        <w:ind w:left="2030" w:hanging="360"/>
      </w:pPr>
      <w:rPr>
        <w:rFonts w:ascii="Courier New" w:hAnsi="Courier New" w:cs="Courier New" w:hint="default"/>
      </w:rPr>
    </w:lvl>
    <w:lvl w:ilvl="2" w:tplc="08090005" w:tentative="1">
      <w:start w:val="1"/>
      <w:numFmt w:val="bullet"/>
      <w:lvlText w:val=""/>
      <w:lvlJc w:val="left"/>
      <w:pPr>
        <w:ind w:left="2750" w:hanging="360"/>
      </w:pPr>
      <w:rPr>
        <w:rFonts w:ascii="Wingdings" w:hAnsi="Wingdings" w:hint="default"/>
      </w:rPr>
    </w:lvl>
    <w:lvl w:ilvl="3" w:tplc="08090001" w:tentative="1">
      <w:start w:val="1"/>
      <w:numFmt w:val="bullet"/>
      <w:lvlText w:val=""/>
      <w:lvlJc w:val="left"/>
      <w:pPr>
        <w:ind w:left="3470" w:hanging="360"/>
      </w:pPr>
      <w:rPr>
        <w:rFonts w:ascii="Symbol" w:hAnsi="Symbol" w:hint="default"/>
      </w:rPr>
    </w:lvl>
    <w:lvl w:ilvl="4" w:tplc="08090003" w:tentative="1">
      <w:start w:val="1"/>
      <w:numFmt w:val="bullet"/>
      <w:lvlText w:val="o"/>
      <w:lvlJc w:val="left"/>
      <w:pPr>
        <w:ind w:left="4190" w:hanging="360"/>
      </w:pPr>
      <w:rPr>
        <w:rFonts w:ascii="Courier New" w:hAnsi="Courier New" w:cs="Courier New" w:hint="default"/>
      </w:rPr>
    </w:lvl>
    <w:lvl w:ilvl="5" w:tplc="08090005" w:tentative="1">
      <w:start w:val="1"/>
      <w:numFmt w:val="bullet"/>
      <w:lvlText w:val=""/>
      <w:lvlJc w:val="left"/>
      <w:pPr>
        <w:ind w:left="4910" w:hanging="360"/>
      </w:pPr>
      <w:rPr>
        <w:rFonts w:ascii="Wingdings" w:hAnsi="Wingdings" w:hint="default"/>
      </w:rPr>
    </w:lvl>
    <w:lvl w:ilvl="6" w:tplc="08090001" w:tentative="1">
      <w:start w:val="1"/>
      <w:numFmt w:val="bullet"/>
      <w:lvlText w:val=""/>
      <w:lvlJc w:val="left"/>
      <w:pPr>
        <w:ind w:left="5630" w:hanging="360"/>
      </w:pPr>
      <w:rPr>
        <w:rFonts w:ascii="Symbol" w:hAnsi="Symbol" w:hint="default"/>
      </w:rPr>
    </w:lvl>
    <w:lvl w:ilvl="7" w:tplc="08090003" w:tentative="1">
      <w:start w:val="1"/>
      <w:numFmt w:val="bullet"/>
      <w:lvlText w:val="o"/>
      <w:lvlJc w:val="left"/>
      <w:pPr>
        <w:ind w:left="6350" w:hanging="360"/>
      </w:pPr>
      <w:rPr>
        <w:rFonts w:ascii="Courier New" w:hAnsi="Courier New" w:cs="Courier New" w:hint="default"/>
      </w:rPr>
    </w:lvl>
    <w:lvl w:ilvl="8" w:tplc="08090005" w:tentative="1">
      <w:start w:val="1"/>
      <w:numFmt w:val="bullet"/>
      <w:lvlText w:val=""/>
      <w:lvlJc w:val="left"/>
      <w:pPr>
        <w:ind w:left="7070" w:hanging="360"/>
      </w:pPr>
      <w:rPr>
        <w:rFonts w:ascii="Wingdings" w:hAnsi="Wingdings" w:hint="default"/>
      </w:rPr>
    </w:lvl>
  </w:abstractNum>
  <w:abstractNum w:abstractNumId="14" w15:restartNumberingAfterBreak="0">
    <w:nsid w:val="3997051C"/>
    <w:multiLevelType w:val="hybridMultilevel"/>
    <w:tmpl w:val="76E22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E93D40"/>
    <w:multiLevelType w:val="hybridMultilevel"/>
    <w:tmpl w:val="FBB61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CF1D82"/>
    <w:multiLevelType w:val="hybridMultilevel"/>
    <w:tmpl w:val="57BAE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1B606F"/>
    <w:multiLevelType w:val="hybridMultilevel"/>
    <w:tmpl w:val="15CC8CAE"/>
    <w:lvl w:ilvl="0" w:tplc="F98E485E">
      <w:start w:val="1"/>
      <w:numFmt w:val="lowerLetter"/>
      <w:lvlText w:val="%1."/>
      <w:lvlJc w:val="left"/>
      <w:pPr>
        <w:ind w:left="947" w:hanging="360"/>
      </w:p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8" w15:restartNumberingAfterBreak="0">
    <w:nsid w:val="4B5B37C2"/>
    <w:multiLevelType w:val="hybridMultilevel"/>
    <w:tmpl w:val="96AA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D94301"/>
    <w:multiLevelType w:val="hybridMultilevel"/>
    <w:tmpl w:val="A5903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5D3EBB"/>
    <w:multiLevelType w:val="hybridMultilevel"/>
    <w:tmpl w:val="952E9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EA000F"/>
    <w:multiLevelType w:val="hybridMultilevel"/>
    <w:tmpl w:val="DC4A8DCC"/>
    <w:lvl w:ilvl="0" w:tplc="2CCABE02">
      <w:start w:val="1"/>
      <w:numFmt w:val="bullet"/>
      <w:pStyle w:val="Bullet1"/>
      <w:lvlText w:val=""/>
      <w:lvlJc w:val="left"/>
      <w:pPr>
        <w:ind w:left="780" w:hanging="360"/>
      </w:pPr>
      <w:rPr>
        <w:rFonts w:ascii="Symbol" w:hAnsi="Symbol"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2" w15:restartNumberingAfterBreak="0">
    <w:nsid w:val="635B70C1"/>
    <w:multiLevelType w:val="hybridMultilevel"/>
    <w:tmpl w:val="DC868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F55D9D"/>
    <w:multiLevelType w:val="hybridMultilevel"/>
    <w:tmpl w:val="28546E8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65647CAD"/>
    <w:multiLevelType w:val="hybridMultilevel"/>
    <w:tmpl w:val="A6DAA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3F2CDF"/>
    <w:multiLevelType w:val="hybridMultilevel"/>
    <w:tmpl w:val="95DC8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2A55E7"/>
    <w:multiLevelType w:val="hybridMultilevel"/>
    <w:tmpl w:val="806AFC4A"/>
    <w:lvl w:ilvl="0" w:tplc="6D806ABC">
      <w:start w:val="1"/>
      <w:numFmt w:val="bullet"/>
      <w:pStyle w:val="Bullet2"/>
      <w:lvlText w:val="o"/>
      <w:lvlJc w:val="left"/>
      <w:pPr>
        <w:ind w:left="1854" w:hanging="360"/>
      </w:pPr>
      <w:rPr>
        <w:rFonts w:ascii="Courier New" w:hAnsi="Courier New" w:cs="Courier New" w:hint="default"/>
      </w:rPr>
    </w:lvl>
    <w:lvl w:ilvl="1" w:tplc="D2A80396">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6FEC6F74"/>
    <w:multiLevelType w:val="hybridMultilevel"/>
    <w:tmpl w:val="FBEE5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60469F"/>
    <w:multiLevelType w:val="hybridMultilevel"/>
    <w:tmpl w:val="0622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A1560F"/>
    <w:multiLevelType w:val="hybridMultilevel"/>
    <w:tmpl w:val="A7948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4C7E51"/>
    <w:multiLevelType w:val="hybridMultilevel"/>
    <w:tmpl w:val="07DAB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890ADC"/>
    <w:multiLevelType w:val="hybridMultilevel"/>
    <w:tmpl w:val="A67EA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342299"/>
    <w:multiLevelType w:val="hybridMultilevel"/>
    <w:tmpl w:val="FC62C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911890"/>
    <w:multiLevelType w:val="hybridMultilevel"/>
    <w:tmpl w:val="B172F50A"/>
    <w:lvl w:ilvl="0" w:tplc="08090003">
      <w:start w:val="1"/>
      <w:numFmt w:val="bullet"/>
      <w:lvlText w:val="o"/>
      <w:lvlJc w:val="left"/>
      <w:pPr>
        <w:ind w:left="780" w:hanging="360"/>
      </w:pPr>
      <w:rPr>
        <w:rFonts w:ascii="Courier New" w:hAnsi="Courier New" w:cs="Courier New"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num w:numId="1">
    <w:abstractNumId w:val="17"/>
    <w:lvlOverride w:ilvl="0">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6"/>
  </w:num>
  <w:num w:numId="5">
    <w:abstractNumId w:val="3"/>
  </w:num>
  <w:num w:numId="6">
    <w:abstractNumId w:val="8"/>
  </w:num>
  <w:num w:numId="7">
    <w:abstractNumId w:val="9"/>
  </w:num>
  <w:num w:numId="8">
    <w:abstractNumId w:val="11"/>
  </w:num>
  <w:num w:numId="9">
    <w:abstractNumId w:val="6"/>
  </w:num>
  <w:num w:numId="10">
    <w:abstractNumId w:val="2"/>
  </w:num>
  <w:num w:numId="11">
    <w:abstractNumId w:val="2"/>
  </w:num>
  <w:num w:numId="12">
    <w:abstractNumId w:val="15"/>
  </w:num>
  <w:num w:numId="13">
    <w:abstractNumId w:val="11"/>
  </w:num>
  <w:num w:numId="14">
    <w:abstractNumId w:val="17"/>
  </w:num>
  <w:num w:numId="15">
    <w:abstractNumId w:val="30"/>
  </w:num>
  <w:num w:numId="16">
    <w:abstractNumId w:val="14"/>
  </w:num>
  <w:num w:numId="17">
    <w:abstractNumId w:val="27"/>
  </w:num>
  <w:num w:numId="18">
    <w:abstractNumId w:val="0"/>
  </w:num>
  <w:num w:numId="19">
    <w:abstractNumId w:val="33"/>
  </w:num>
  <w:num w:numId="20">
    <w:abstractNumId w:val="21"/>
  </w:num>
  <w:num w:numId="21">
    <w:abstractNumId w:val="32"/>
  </w:num>
  <w:num w:numId="22">
    <w:abstractNumId w:val="12"/>
  </w:num>
  <w:num w:numId="23">
    <w:abstractNumId w:val="29"/>
  </w:num>
  <w:num w:numId="24">
    <w:abstractNumId w:val="13"/>
  </w:num>
  <w:num w:numId="25">
    <w:abstractNumId w:val="28"/>
  </w:num>
  <w:num w:numId="26">
    <w:abstractNumId w:val="19"/>
  </w:num>
  <w:num w:numId="27">
    <w:abstractNumId w:val="16"/>
  </w:num>
  <w:num w:numId="28">
    <w:abstractNumId w:val="22"/>
  </w:num>
  <w:num w:numId="29">
    <w:abstractNumId w:val="20"/>
  </w:num>
  <w:num w:numId="30">
    <w:abstractNumId w:val="24"/>
  </w:num>
  <w:num w:numId="31">
    <w:abstractNumId w:val="25"/>
  </w:num>
  <w:num w:numId="32">
    <w:abstractNumId w:val="7"/>
  </w:num>
  <w:num w:numId="33">
    <w:abstractNumId w:val="23"/>
  </w:num>
  <w:num w:numId="34">
    <w:abstractNumId w:val="5"/>
  </w:num>
  <w:num w:numId="35">
    <w:abstractNumId w:val="1"/>
  </w:num>
  <w:num w:numId="36">
    <w:abstractNumId w:val="31"/>
  </w:num>
  <w:num w:numId="37">
    <w:abstractNumId w:val="18"/>
  </w:num>
  <w:num w:numId="3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styleLockTheme/>
  <w:styleLockQFSet/>
  <w:defaultTabStop w:val="720"/>
  <w:characterSpacingControl w:val="doNotCompress"/>
  <w:hdrShapeDefaults>
    <o:shapedefaults v:ext="edit" spidmax="2050"/>
  </w:hdrShapeDefaults>
  <w:footnotePr>
    <w:numFmt w:val="lowerRoman"/>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9B5"/>
    <w:rsid w:val="00002573"/>
    <w:rsid w:val="000038DC"/>
    <w:rsid w:val="00003F53"/>
    <w:rsid w:val="00006C35"/>
    <w:rsid w:val="00006C8B"/>
    <w:rsid w:val="00007D2C"/>
    <w:rsid w:val="00010C2D"/>
    <w:rsid w:val="00010D58"/>
    <w:rsid w:val="00011125"/>
    <w:rsid w:val="00011476"/>
    <w:rsid w:val="00011B61"/>
    <w:rsid w:val="00013B33"/>
    <w:rsid w:val="000144FB"/>
    <w:rsid w:val="00014DAD"/>
    <w:rsid w:val="00015ACF"/>
    <w:rsid w:val="0001626E"/>
    <w:rsid w:val="000202E1"/>
    <w:rsid w:val="00021AE4"/>
    <w:rsid w:val="00022686"/>
    <w:rsid w:val="0002275E"/>
    <w:rsid w:val="00023397"/>
    <w:rsid w:val="00023D03"/>
    <w:rsid w:val="00023E83"/>
    <w:rsid w:val="0002442E"/>
    <w:rsid w:val="00025D78"/>
    <w:rsid w:val="00026EEF"/>
    <w:rsid w:val="000300E4"/>
    <w:rsid w:val="0003229D"/>
    <w:rsid w:val="00032717"/>
    <w:rsid w:val="0003284E"/>
    <w:rsid w:val="0003362B"/>
    <w:rsid w:val="000350C5"/>
    <w:rsid w:val="000360C4"/>
    <w:rsid w:val="00036E0B"/>
    <w:rsid w:val="00041059"/>
    <w:rsid w:val="00041166"/>
    <w:rsid w:val="00041AE6"/>
    <w:rsid w:val="00043625"/>
    <w:rsid w:val="0004505F"/>
    <w:rsid w:val="00045BE6"/>
    <w:rsid w:val="00045D32"/>
    <w:rsid w:val="000468ED"/>
    <w:rsid w:val="00046D33"/>
    <w:rsid w:val="000477B8"/>
    <w:rsid w:val="00050116"/>
    <w:rsid w:val="0005036E"/>
    <w:rsid w:val="00051733"/>
    <w:rsid w:val="00052B2F"/>
    <w:rsid w:val="00054AC2"/>
    <w:rsid w:val="000555C7"/>
    <w:rsid w:val="000570C1"/>
    <w:rsid w:val="0006090C"/>
    <w:rsid w:val="00060E51"/>
    <w:rsid w:val="00061282"/>
    <w:rsid w:val="00061374"/>
    <w:rsid w:val="00061D08"/>
    <w:rsid w:val="00063D04"/>
    <w:rsid w:val="00063DCE"/>
    <w:rsid w:val="00063F05"/>
    <w:rsid w:val="00064091"/>
    <w:rsid w:val="000644CB"/>
    <w:rsid w:val="00065A3F"/>
    <w:rsid w:val="00065CAC"/>
    <w:rsid w:val="00066995"/>
    <w:rsid w:val="000677C1"/>
    <w:rsid w:val="00067929"/>
    <w:rsid w:val="000700D3"/>
    <w:rsid w:val="000743E6"/>
    <w:rsid w:val="00074F41"/>
    <w:rsid w:val="000767E0"/>
    <w:rsid w:val="0007695F"/>
    <w:rsid w:val="0007724F"/>
    <w:rsid w:val="0008171B"/>
    <w:rsid w:val="000828FC"/>
    <w:rsid w:val="00082A45"/>
    <w:rsid w:val="00084CFB"/>
    <w:rsid w:val="00085185"/>
    <w:rsid w:val="00085772"/>
    <w:rsid w:val="0008597E"/>
    <w:rsid w:val="00085E40"/>
    <w:rsid w:val="0008721E"/>
    <w:rsid w:val="00087ED6"/>
    <w:rsid w:val="000914CA"/>
    <w:rsid w:val="00091513"/>
    <w:rsid w:val="00093561"/>
    <w:rsid w:val="00093ABF"/>
    <w:rsid w:val="0009625C"/>
    <w:rsid w:val="00096B1A"/>
    <w:rsid w:val="00096F1B"/>
    <w:rsid w:val="00097DAC"/>
    <w:rsid w:val="000A021F"/>
    <w:rsid w:val="000A1DFC"/>
    <w:rsid w:val="000A1F34"/>
    <w:rsid w:val="000A2008"/>
    <w:rsid w:val="000A246D"/>
    <w:rsid w:val="000A2BF8"/>
    <w:rsid w:val="000A3576"/>
    <w:rsid w:val="000A41CF"/>
    <w:rsid w:val="000A52FB"/>
    <w:rsid w:val="000A56BA"/>
    <w:rsid w:val="000A5D83"/>
    <w:rsid w:val="000A6AFB"/>
    <w:rsid w:val="000A763B"/>
    <w:rsid w:val="000B0D20"/>
    <w:rsid w:val="000B1F3D"/>
    <w:rsid w:val="000B226C"/>
    <w:rsid w:val="000B2E68"/>
    <w:rsid w:val="000B30EE"/>
    <w:rsid w:val="000B320D"/>
    <w:rsid w:val="000B35BC"/>
    <w:rsid w:val="000B5101"/>
    <w:rsid w:val="000B7169"/>
    <w:rsid w:val="000C0176"/>
    <w:rsid w:val="000C53C4"/>
    <w:rsid w:val="000C5B36"/>
    <w:rsid w:val="000C5B5F"/>
    <w:rsid w:val="000C5C0E"/>
    <w:rsid w:val="000C6792"/>
    <w:rsid w:val="000D09EF"/>
    <w:rsid w:val="000D2A8A"/>
    <w:rsid w:val="000D2EF7"/>
    <w:rsid w:val="000D322E"/>
    <w:rsid w:val="000D635C"/>
    <w:rsid w:val="000D760F"/>
    <w:rsid w:val="000E0B2F"/>
    <w:rsid w:val="000E2511"/>
    <w:rsid w:val="000E477A"/>
    <w:rsid w:val="000E598D"/>
    <w:rsid w:val="000E6BA1"/>
    <w:rsid w:val="000F2DDC"/>
    <w:rsid w:val="000F330D"/>
    <w:rsid w:val="000F3742"/>
    <w:rsid w:val="000F3F95"/>
    <w:rsid w:val="000F4827"/>
    <w:rsid w:val="000F4FC5"/>
    <w:rsid w:val="000F53F4"/>
    <w:rsid w:val="000F75A4"/>
    <w:rsid w:val="001003B6"/>
    <w:rsid w:val="001005DA"/>
    <w:rsid w:val="00101158"/>
    <w:rsid w:val="00102FB9"/>
    <w:rsid w:val="001036A4"/>
    <w:rsid w:val="00103DB1"/>
    <w:rsid w:val="001044A0"/>
    <w:rsid w:val="00105304"/>
    <w:rsid w:val="00106D18"/>
    <w:rsid w:val="00107CB2"/>
    <w:rsid w:val="00112322"/>
    <w:rsid w:val="00112708"/>
    <w:rsid w:val="00112B56"/>
    <w:rsid w:val="00114C58"/>
    <w:rsid w:val="00114DE8"/>
    <w:rsid w:val="0011698A"/>
    <w:rsid w:val="001170C1"/>
    <w:rsid w:val="00120F39"/>
    <w:rsid w:val="00123B8D"/>
    <w:rsid w:val="00123D6C"/>
    <w:rsid w:val="00124FAF"/>
    <w:rsid w:val="00126FA6"/>
    <w:rsid w:val="00127575"/>
    <w:rsid w:val="00127891"/>
    <w:rsid w:val="00127C74"/>
    <w:rsid w:val="00130B33"/>
    <w:rsid w:val="00130D0B"/>
    <w:rsid w:val="001324E0"/>
    <w:rsid w:val="00132DCC"/>
    <w:rsid w:val="00133668"/>
    <w:rsid w:val="00133C36"/>
    <w:rsid w:val="00134246"/>
    <w:rsid w:val="00135DE5"/>
    <w:rsid w:val="00136317"/>
    <w:rsid w:val="001363E3"/>
    <w:rsid w:val="00136A97"/>
    <w:rsid w:val="0013724C"/>
    <w:rsid w:val="00140426"/>
    <w:rsid w:val="001414AE"/>
    <w:rsid w:val="001418A1"/>
    <w:rsid w:val="001419C9"/>
    <w:rsid w:val="00141FF7"/>
    <w:rsid w:val="001452B5"/>
    <w:rsid w:val="0014544F"/>
    <w:rsid w:val="0014562F"/>
    <w:rsid w:val="00146E2E"/>
    <w:rsid w:val="00146E55"/>
    <w:rsid w:val="001473E0"/>
    <w:rsid w:val="00147B59"/>
    <w:rsid w:val="00150045"/>
    <w:rsid w:val="0015012C"/>
    <w:rsid w:val="00151604"/>
    <w:rsid w:val="00151D33"/>
    <w:rsid w:val="00151DBB"/>
    <w:rsid w:val="00154A67"/>
    <w:rsid w:val="00155101"/>
    <w:rsid w:val="0015573E"/>
    <w:rsid w:val="00155A5A"/>
    <w:rsid w:val="0015604B"/>
    <w:rsid w:val="00156CC5"/>
    <w:rsid w:val="00157283"/>
    <w:rsid w:val="001575F8"/>
    <w:rsid w:val="00157FB3"/>
    <w:rsid w:val="001619A1"/>
    <w:rsid w:val="00161C76"/>
    <w:rsid w:val="0016230E"/>
    <w:rsid w:val="00165EDE"/>
    <w:rsid w:val="00166C1C"/>
    <w:rsid w:val="0016727D"/>
    <w:rsid w:val="001708BB"/>
    <w:rsid w:val="0017091A"/>
    <w:rsid w:val="001735A7"/>
    <w:rsid w:val="00173B3C"/>
    <w:rsid w:val="001743F7"/>
    <w:rsid w:val="00174930"/>
    <w:rsid w:val="00175DCE"/>
    <w:rsid w:val="00176180"/>
    <w:rsid w:val="00176FA4"/>
    <w:rsid w:val="00177250"/>
    <w:rsid w:val="001772BA"/>
    <w:rsid w:val="001774DE"/>
    <w:rsid w:val="00181D4B"/>
    <w:rsid w:val="00185275"/>
    <w:rsid w:val="0018710A"/>
    <w:rsid w:val="001926D0"/>
    <w:rsid w:val="001963A0"/>
    <w:rsid w:val="00196B28"/>
    <w:rsid w:val="001A136F"/>
    <w:rsid w:val="001A1AF2"/>
    <w:rsid w:val="001A20BA"/>
    <w:rsid w:val="001A3D97"/>
    <w:rsid w:val="001A3F42"/>
    <w:rsid w:val="001A4CCC"/>
    <w:rsid w:val="001A4CE3"/>
    <w:rsid w:val="001A6EAB"/>
    <w:rsid w:val="001A704B"/>
    <w:rsid w:val="001A7439"/>
    <w:rsid w:val="001A7A92"/>
    <w:rsid w:val="001A7DA0"/>
    <w:rsid w:val="001B0383"/>
    <w:rsid w:val="001B0687"/>
    <w:rsid w:val="001B1066"/>
    <w:rsid w:val="001B14C3"/>
    <w:rsid w:val="001B2BCA"/>
    <w:rsid w:val="001B3836"/>
    <w:rsid w:val="001B5051"/>
    <w:rsid w:val="001B66B9"/>
    <w:rsid w:val="001B6A9F"/>
    <w:rsid w:val="001B7659"/>
    <w:rsid w:val="001B7FEA"/>
    <w:rsid w:val="001C3278"/>
    <w:rsid w:val="001C71DC"/>
    <w:rsid w:val="001D08A7"/>
    <w:rsid w:val="001D2C26"/>
    <w:rsid w:val="001D47CC"/>
    <w:rsid w:val="001D5E71"/>
    <w:rsid w:val="001E1158"/>
    <w:rsid w:val="001E1365"/>
    <w:rsid w:val="001E15DC"/>
    <w:rsid w:val="001E1F3C"/>
    <w:rsid w:val="001E1FDE"/>
    <w:rsid w:val="001E4B3B"/>
    <w:rsid w:val="001E5954"/>
    <w:rsid w:val="001E6AEE"/>
    <w:rsid w:val="001F000E"/>
    <w:rsid w:val="001F01DC"/>
    <w:rsid w:val="001F0E09"/>
    <w:rsid w:val="001F1A6E"/>
    <w:rsid w:val="001F1C8D"/>
    <w:rsid w:val="001F1F91"/>
    <w:rsid w:val="001F2CFD"/>
    <w:rsid w:val="001F2F83"/>
    <w:rsid w:val="001F5B09"/>
    <w:rsid w:val="001F7819"/>
    <w:rsid w:val="0020334A"/>
    <w:rsid w:val="002049FC"/>
    <w:rsid w:val="00204BF4"/>
    <w:rsid w:val="002075A4"/>
    <w:rsid w:val="00207B12"/>
    <w:rsid w:val="00210791"/>
    <w:rsid w:val="00211C43"/>
    <w:rsid w:val="00212ACA"/>
    <w:rsid w:val="002132FB"/>
    <w:rsid w:val="00213FEF"/>
    <w:rsid w:val="00216E69"/>
    <w:rsid w:val="0022082A"/>
    <w:rsid w:val="00221AA6"/>
    <w:rsid w:val="0022603E"/>
    <w:rsid w:val="00226C77"/>
    <w:rsid w:val="00226EA0"/>
    <w:rsid w:val="00234E80"/>
    <w:rsid w:val="00236336"/>
    <w:rsid w:val="0024181F"/>
    <w:rsid w:val="00243283"/>
    <w:rsid w:val="00245F2F"/>
    <w:rsid w:val="00246B7A"/>
    <w:rsid w:val="0025040C"/>
    <w:rsid w:val="002505D6"/>
    <w:rsid w:val="00250891"/>
    <w:rsid w:val="0025123A"/>
    <w:rsid w:val="00251846"/>
    <w:rsid w:val="00252817"/>
    <w:rsid w:val="00252CF0"/>
    <w:rsid w:val="00253076"/>
    <w:rsid w:val="002530C1"/>
    <w:rsid w:val="00253256"/>
    <w:rsid w:val="00253609"/>
    <w:rsid w:val="00253686"/>
    <w:rsid w:val="00254FF1"/>
    <w:rsid w:val="00255B4C"/>
    <w:rsid w:val="0025617E"/>
    <w:rsid w:val="00257BAA"/>
    <w:rsid w:val="00261E1D"/>
    <w:rsid w:val="00262D24"/>
    <w:rsid w:val="00264B26"/>
    <w:rsid w:val="00264CF4"/>
    <w:rsid w:val="002657D7"/>
    <w:rsid w:val="00266295"/>
    <w:rsid w:val="00267BAA"/>
    <w:rsid w:val="00270452"/>
    <w:rsid w:val="002722FC"/>
    <w:rsid w:val="00272712"/>
    <w:rsid w:val="00275F7C"/>
    <w:rsid w:val="00280C82"/>
    <w:rsid w:val="002815D8"/>
    <w:rsid w:val="0028278E"/>
    <w:rsid w:val="00282A44"/>
    <w:rsid w:val="002835F6"/>
    <w:rsid w:val="0028397C"/>
    <w:rsid w:val="00283DF5"/>
    <w:rsid w:val="00284814"/>
    <w:rsid w:val="002852CA"/>
    <w:rsid w:val="002867EB"/>
    <w:rsid w:val="0028683E"/>
    <w:rsid w:val="00287452"/>
    <w:rsid w:val="00292910"/>
    <w:rsid w:val="00293429"/>
    <w:rsid w:val="00294C86"/>
    <w:rsid w:val="002961B4"/>
    <w:rsid w:val="00296996"/>
    <w:rsid w:val="00296C61"/>
    <w:rsid w:val="002A3357"/>
    <w:rsid w:val="002A368C"/>
    <w:rsid w:val="002A3CA3"/>
    <w:rsid w:val="002A493A"/>
    <w:rsid w:val="002A607C"/>
    <w:rsid w:val="002A7F74"/>
    <w:rsid w:val="002B0926"/>
    <w:rsid w:val="002B0B17"/>
    <w:rsid w:val="002B103C"/>
    <w:rsid w:val="002B104B"/>
    <w:rsid w:val="002B26FB"/>
    <w:rsid w:val="002B2CDC"/>
    <w:rsid w:val="002B4C5B"/>
    <w:rsid w:val="002B5219"/>
    <w:rsid w:val="002B59F2"/>
    <w:rsid w:val="002B68D3"/>
    <w:rsid w:val="002B6B73"/>
    <w:rsid w:val="002B77D3"/>
    <w:rsid w:val="002B7928"/>
    <w:rsid w:val="002C1AA4"/>
    <w:rsid w:val="002C1DA5"/>
    <w:rsid w:val="002C2205"/>
    <w:rsid w:val="002C2239"/>
    <w:rsid w:val="002C2831"/>
    <w:rsid w:val="002C4079"/>
    <w:rsid w:val="002C43E1"/>
    <w:rsid w:val="002C7C2B"/>
    <w:rsid w:val="002D174F"/>
    <w:rsid w:val="002D3628"/>
    <w:rsid w:val="002D3E36"/>
    <w:rsid w:val="002D47F4"/>
    <w:rsid w:val="002D4CCF"/>
    <w:rsid w:val="002D50AA"/>
    <w:rsid w:val="002D7715"/>
    <w:rsid w:val="002D78FC"/>
    <w:rsid w:val="002E0489"/>
    <w:rsid w:val="002E10D7"/>
    <w:rsid w:val="002E132A"/>
    <w:rsid w:val="002E2D77"/>
    <w:rsid w:val="002E4EBD"/>
    <w:rsid w:val="002E608D"/>
    <w:rsid w:val="002E6410"/>
    <w:rsid w:val="002E64CE"/>
    <w:rsid w:val="002F11A3"/>
    <w:rsid w:val="002F1E34"/>
    <w:rsid w:val="002F1FB4"/>
    <w:rsid w:val="002F5BA2"/>
    <w:rsid w:val="002F60FB"/>
    <w:rsid w:val="002F6A72"/>
    <w:rsid w:val="002F7D25"/>
    <w:rsid w:val="0030108C"/>
    <w:rsid w:val="0030130B"/>
    <w:rsid w:val="003013E3"/>
    <w:rsid w:val="00301CC9"/>
    <w:rsid w:val="00302042"/>
    <w:rsid w:val="003025D4"/>
    <w:rsid w:val="00302F40"/>
    <w:rsid w:val="0030343D"/>
    <w:rsid w:val="00303BB4"/>
    <w:rsid w:val="003055E8"/>
    <w:rsid w:val="003072DA"/>
    <w:rsid w:val="00307ACC"/>
    <w:rsid w:val="00310CF2"/>
    <w:rsid w:val="003110DD"/>
    <w:rsid w:val="003120C1"/>
    <w:rsid w:val="00312F59"/>
    <w:rsid w:val="003135D0"/>
    <w:rsid w:val="00315582"/>
    <w:rsid w:val="00316CB1"/>
    <w:rsid w:val="0031790C"/>
    <w:rsid w:val="003205EA"/>
    <w:rsid w:val="00320A13"/>
    <w:rsid w:val="00320A17"/>
    <w:rsid w:val="0032146C"/>
    <w:rsid w:val="003230E5"/>
    <w:rsid w:val="0032315E"/>
    <w:rsid w:val="00325003"/>
    <w:rsid w:val="00326090"/>
    <w:rsid w:val="00326DE4"/>
    <w:rsid w:val="00326F3D"/>
    <w:rsid w:val="00326FBB"/>
    <w:rsid w:val="00327301"/>
    <w:rsid w:val="003302FE"/>
    <w:rsid w:val="003310A9"/>
    <w:rsid w:val="003313FA"/>
    <w:rsid w:val="00332943"/>
    <w:rsid w:val="00332EA9"/>
    <w:rsid w:val="00333DAA"/>
    <w:rsid w:val="0033574C"/>
    <w:rsid w:val="003366D6"/>
    <w:rsid w:val="003371A0"/>
    <w:rsid w:val="00337ACE"/>
    <w:rsid w:val="00340EE4"/>
    <w:rsid w:val="00341FE3"/>
    <w:rsid w:val="003421A0"/>
    <w:rsid w:val="0034282D"/>
    <w:rsid w:val="003432B3"/>
    <w:rsid w:val="00343343"/>
    <w:rsid w:val="00345C8A"/>
    <w:rsid w:val="00346DAE"/>
    <w:rsid w:val="00347946"/>
    <w:rsid w:val="00350246"/>
    <w:rsid w:val="003504BB"/>
    <w:rsid w:val="00350773"/>
    <w:rsid w:val="003526F9"/>
    <w:rsid w:val="00352ACE"/>
    <w:rsid w:val="00352C92"/>
    <w:rsid w:val="003544DE"/>
    <w:rsid w:val="00355EE9"/>
    <w:rsid w:val="003618A8"/>
    <w:rsid w:val="00362B0C"/>
    <w:rsid w:val="003644EC"/>
    <w:rsid w:val="00370CA0"/>
    <w:rsid w:val="00373356"/>
    <w:rsid w:val="00375535"/>
    <w:rsid w:val="00376685"/>
    <w:rsid w:val="003804D9"/>
    <w:rsid w:val="00381AA2"/>
    <w:rsid w:val="003824E8"/>
    <w:rsid w:val="00382689"/>
    <w:rsid w:val="00382D4A"/>
    <w:rsid w:val="003835DB"/>
    <w:rsid w:val="00383A7D"/>
    <w:rsid w:val="00385C7C"/>
    <w:rsid w:val="00390095"/>
    <w:rsid w:val="003934A7"/>
    <w:rsid w:val="00394E66"/>
    <w:rsid w:val="00395B28"/>
    <w:rsid w:val="0039641C"/>
    <w:rsid w:val="003A04B2"/>
    <w:rsid w:val="003A082D"/>
    <w:rsid w:val="003A15BF"/>
    <w:rsid w:val="003A23EB"/>
    <w:rsid w:val="003A2D93"/>
    <w:rsid w:val="003A2F2F"/>
    <w:rsid w:val="003A5F68"/>
    <w:rsid w:val="003A76C0"/>
    <w:rsid w:val="003B1F13"/>
    <w:rsid w:val="003B2541"/>
    <w:rsid w:val="003B25C2"/>
    <w:rsid w:val="003B2CC3"/>
    <w:rsid w:val="003B33A3"/>
    <w:rsid w:val="003B4FB7"/>
    <w:rsid w:val="003B686E"/>
    <w:rsid w:val="003B6BAA"/>
    <w:rsid w:val="003B6E73"/>
    <w:rsid w:val="003B7CEF"/>
    <w:rsid w:val="003C0A7B"/>
    <w:rsid w:val="003C1493"/>
    <w:rsid w:val="003C344D"/>
    <w:rsid w:val="003C4A54"/>
    <w:rsid w:val="003C549D"/>
    <w:rsid w:val="003C6DEB"/>
    <w:rsid w:val="003C71B0"/>
    <w:rsid w:val="003D0233"/>
    <w:rsid w:val="003D04F5"/>
    <w:rsid w:val="003D4CDA"/>
    <w:rsid w:val="003D6A01"/>
    <w:rsid w:val="003D705C"/>
    <w:rsid w:val="003E0D14"/>
    <w:rsid w:val="003E1276"/>
    <w:rsid w:val="003E1491"/>
    <w:rsid w:val="003E276E"/>
    <w:rsid w:val="003E3711"/>
    <w:rsid w:val="003E43AC"/>
    <w:rsid w:val="003E46B4"/>
    <w:rsid w:val="003E4FC9"/>
    <w:rsid w:val="003E5499"/>
    <w:rsid w:val="003E6C3D"/>
    <w:rsid w:val="003F0008"/>
    <w:rsid w:val="003F02D2"/>
    <w:rsid w:val="003F0D2E"/>
    <w:rsid w:val="003F1755"/>
    <w:rsid w:val="003F17ED"/>
    <w:rsid w:val="003F202E"/>
    <w:rsid w:val="003F2338"/>
    <w:rsid w:val="003F2A8A"/>
    <w:rsid w:val="003F30CE"/>
    <w:rsid w:val="003F3C34"/>
    <w:rsid w:val="003F4C57"/>
    <w:rsid w:val="003F6B44"/>
    <w:rsid w:val="004000AB"/>
    <w:rsid w:val="004007A7"/>
    <w:rsid w:val="0040095F"/>
    <w:rsid w:val="00400C6E"/>
    <w:rsid w:val="0040116C"/>
    <w:rsid w:val="00401DFC"/>
    <w:rsid w:val="0040368F"/>
    <w:rsid w:val="0040402D"/>
    <w:rsid w:val="00404BE5"/>
    <w:rsid w:val="00404C01"/>
    <w:rsid w:val="00404D54"/>
    <w:rsid w:val="004050AD"/>
    <w:rsid w:val="0040598E"/>
    <w:rsid w:val="00405EF2"/>
    <w:rsid w:val="0040621F"/>
    <w:rsid w:val="00406407"/>
    <w:rsid w:val="00406D35"/>
    <w:rsid w:val="00407EC1"/>
    <w:rsid w:val="004101AC"/>
    <w:rsid w:val="004101E7"/>
    <w:rsid w:val="004107EC"/>
    <w:rsid w:val="00410E20"/>
    <w:rsid w:val="004126A2"/>
    <w:rsid w:val="00413699"/>
    <w:rsid w:val="004171E1"/>
    <w:rsid w:val="00417DC3"/>
    <w:rsid w:val="00421CD7"/>
    <w:rsid w:val="00422DED"/>
    <w:rsid w:val="00425A22"/>
    <w:rsid w:val="00427D8B"/>
    <w:rsid w:val="00431EB9"/>
    <w:rsid w:val="0043255D"/>
    <w:rsid w:val="0043377B"/>
    <w:rsid w:val="00433960"/>
    <w:rsid w:val="0043407A"/>
    <w:rsid w:val="00435EB4"/>
    <w:rsid w:val="00436499"/>
    <w:rsid w:val="0043752E"/>
    <w:rsid w:val="00437612"/>
    <w:rsid w:val="00442A47"/>
    <w:rsid w:val="00443A84"/>
    <w:rsid w:val="00443D9E"/>
    <w:rsid w:val="00444F71"/>
    <w:rsid w:val="00446B7A"/>
    <w:rsid w:val="00450185"/>
    <w:rsid w:val="00450E95"/>
    <w:rsid w:val="00451A24"/>
    <w:rsid w:val="0045340F"/>
    <w:rsid w:val="00453DB7"/>
    <w:rsid w:val="00454D3A"/>
    <w:rsid w:val="00457D2E"/>
    <w:rsid w:val="00457DDC"/>
    <w:rsid w:val="004607BF"/>
    <w:rsid w:val="00460F75"/>
    <w:rsid w:val="00461452"/>
    <w:rsid w:val="00461768"/>
    <w:rsid w:val="00463F3C"/>
    <w:rsid w:val="00465506"/>
    <w:rsid w:val="00465E10"/>
    <w:rsid w:val="00466C83"/>
    <w:rsid w:val="00466CB4"/>
    <w:rsid w:val="00466E5D"/>
    <w:rsid w:val="00467E0B"/>
    <w:rsid w:val="00471F84"/>
    <w:rsid w:val="004755D1"/>
    <w:rsid w:val="004766A5"/>
    <w:rsid w:val="00476C20"/>
    <w:rsid w:val="00477FB1"/>
    <w:rsid w:val="004809DA"/>
    <w:rsid w:val="00481044"/>
    <w:rsid w:val="00481C62"/>
    <w:rsid w:val="004825FA"/>
    <w:rsid w:val="00482860"/>
    <w:rsid w:val="00483CAD"/>
    <w:rsid w:val="0048454C"/>
    <w:rsid w:val="004846F0"/>
    <w:rsid w:val="00484AA1"/>
    <w:rsid w:val="00484FB0"/>
    <w:rsid w:val="004859A5"/>
    <w:rsid w:val="00486298"/>
    <w:rsid w:val="0048684A"/>
    <w:rsid w:val="004916E6"/>
    <w:rsid w:val="004917A5"/>
    <w:rsid w:val="00492165"/>
    <w:rsid w:val="00492997"/>
    <w:rsid w:val="00493AF0"/>
    <w:rsid w:val="0049522B"/>
    <w:rsid w:val="00495C90"/>
    <w:rsid w:val="004A08C8"/>
    <w:rsid w:val="004A19AD"/>
    <w:rsid w:val="004A1DCB"/>
    <w:rsid w:val="004A2807"/>
    <w:rsid w:val="004A4FC1"/>
    <w:rsid w:val="004A52B0"/>
    <w:rsid w:val="004A545D"/>
    <w:rsid w:val="004A57DF"/>
    <w:rsid w:val="004A5C54"/>
    <w:rsid w:val="004A7DCE"/>
    <w:rsid w:val="004B0473"/>
    <w:rsid w:val="004B162B"/>
    <w:rsid w:val="004B1DAA"/>
    <w:rsid w:val="004B26A3"/>
    <w:rsid w:val="004B361B"/>
    <w:rsid w:val="004B5CCE"/>
    <w:rsid w:val="004B6C87"/>
    <w:rsid w:val="004C0DAF"/>
    <w:rsid w:val="004C3903"/>
    <w:rsid w:val="004C4524"/>
    <w:rsid w:val="004C4AC5"/>
    <w:rsid w:val="004C66FF"/>
    <w:rsid w:val="004C69A6"/>
    <w:rsid w:val="004C6DF6"/>
    <w:rsid w:val="004C704A"/>
    <w:rsid w:val="004C7C18"/>
    <w:rsid w:val="004D0221"/>
    <w:rsid w:val="004D072C"/>
    <w:rsid w:val="004D0967"/>
    <w:rsid w:val="004D10F4"/>
    <w:rsid w:val="004D1D6E"/>
    <w:rsid w:val="004D2005"/>
    <w:rsid w:val="004D62FF"/>
    <w:rsid w:val="004D6EDD"/>
    <w:rsid w:val="004D7F4F"/>
    <w:rsid w:val="004E0038"/>
    <w:rsid w:val="004E016A"/>
    <w:rsid w:val="004E0576"/>
    <w:rsid w:val="004E090C"/>
    <w:rsid w:val="004E1B4E"/>
    <w:rsid w:val="004E2853"/>
    <w:rsid w:val="004E360A"/>
    <w:rsid w:val="004E69B8"/>
    <w:rsid w:val="004E7A32"/>
    <w:rsid w:val="004F0598"/>
    <w:rsid w:val="004F10C3"/>
    <w:rsid w:val="004F25BA"/>
    <w:rsid w:val="004F3525"/>
    <w:rsid w:val="004F3CB3"/>
    <w:rsid w:val="004F3F88"/>
    <w:rsid w:val="004F65FB"/>
    <w:rsid w:val="004F6DDD"/>
    <w:rsid w:val="00501BF0"/>
    <w:rsid w:val="005032D8"/>
    <w:rsid w:val="0050351D"/>
    <w:rsid w:val="00503EEB"/>
    <w:rsid w:val="00504418"/>
    <w:rsid w:val="00506B04"/>
    <w:rsid w:val="0050747D"/>
    <w:rsid w:val="00507480"/>
    <w:rsid w:val="00507776"/>
    <w:rsid w:val="0050796A"/>
    <w:rsid w:val="00507B2E"/>
    <w:rsid w:val="00510FB6"/>
    <w:rsid w:val="005113BB"/>
    <w:rsid w:val="0051190B"/>
    <w:rsid w:val="00511C14"/>
    <w:rsid w:val="00514CEE"/>
    <w:rsid w:val="00516AB0"/>
    <w:rsid w:val="005170CE"/>
    <w:rsid w:val="0052062A"/>
    <w:rsid w:val="005226AA"/>
    <w:rsid w:val="005244C4"/>
    <w:rsid w:val="00524986"/>
    <w:rsid w:val="00525AED"/>
    <w:rsid w:val="00526937"/>
    <w:rsid w:val="00531601"/>
    <w:rsid w:val="0053195B"/>
    <w:rsid w:val="00532940"/>
    <w:rsid w:val="005337E7"/>
    <w:rsid w:val="00533851"/>
    <w:rsid w:val="0053398F"/>
    <w:rsid w:val="00533BB4"/>
    <w:rsid w:val="0053685E"/>
    <w:rsid w:val="005370FB"/>
    <w:rsid w:val="00537A9C"/>
    <w:rsid w:val="00537F47"/>
    <w:rsid w:val="00540311"/>
    <w:rsid w:val="005413E7"/>
    <w:rsid w:val="005415BD"/>
    <w:rsid w:val="00542A32"/>
    <w:rsid w:val="00543926"/>
    <w:rsid w:val="00543FB8"/>
    <w:rsid w:val="00545440"/>
    <w:rsid w:val="00545597"/>
    <w:rsid w:val="00547B85"/>
    <w:rsid w:val="00550A36"/>
    <w:rsid w:val="00551434"/>
    <w:rsid w:val="00551856"/>
    <w:rsid w:val="00552C89"/>
    <w:rsid w:val="00553D03"/>
    <w:rsid w:val="005550E1"/>
    <w:rsid w:val="00555520"/>
    <w:rsid w:val="00556BD4"/>
    <w:rsid w:val="00556ED5"/>
    <w:rsid w:val="0056082F"/>
    <w:rsid w:val="00560CD7"/>
    <w:rsid w:val="0056262A"/>
    <w:rsid w:val="005630D5"/>
    <w:rsid w:val="005633F9"/>
    <w:rsid w:val="00563E38"/>
    <w:rsid w:val="00563E4F"/>
    <w:rsid w:val="00564CE7"/>
    <w:rsid w:val="005659C3"/>
    <w:rsid w:val="005662F6"/>
    <w:rsid w:val="00566C37"/>
    <w:rsid w:val="00570575"/>
    <w:rsid w:val="00571219"/>
    <w:rsid w:val="00571F04"/>
    <w:rsid w:val="00574091"/>
    <w:rsid w:val="00575330"/>
    <w:rsid w:val="00576899"/>
    <w:rsid w:val="00576EA7"/>
    <w:rsid w:val="005779B5"/>
    <w:rsid w:val="0058015F"/>
    <w:rsid w:val="0058184E"/>
    <w:rsid w:val="005838DD"/>
    <w:rsid w:val="005840FE"/>
    <w:rsid w:val="00584A33"/>
    <w:rsid w:val="00585402"/>
    <w:rsid w:val="005858D9"/>
    <w:rsid w:val="00587532"/>
    <w:rsid w:val="0059195A"/>
    <w:rsid w:val="00592457"/>
    <w:rsid w:val="005938F4"/>
    <w:rsid w:val="00593D20"/>
    <w:rsid w:val="00594712"/>
    <w:rsid w:val="00595118"/>
    <w:rsid w:val="0059515B"/>
    <w:rsid w:val="00595A6F"/>
    <w:rsid w:val="005975FB"/>
    <w:rsid w:val="005978B7"/>
    <w:rsid w:val="005979A0"/>
    <w:rsid w:val="005A03E7"/>
    <w:rsid w:val="005A03F8"/>
    <w:rsid w:val="005A15C2"/>
    <w:rsid w:val="005A239A"/>
    <w:rsid w:val="005A23B3"/>
    <w:rsid w:val="005A57E0"/>
    <w:rsid w:val="005A5844"/>
    <w:rsid w:val="005A611A"/>
    <w:rsid w:val="005A6D6F"/>
    <w:rsid w:val="005B1333"/>
    <w:rsid w:val="005B14B4"/>
    <w:rsid w:val="005B2023"/>
    <w:rsid w:val="005B33FD"/>
    <w:rsid w:val="005B3AF5"/>
    <w:rsid w:val="005B3B0D"/>
    <w:rsid w:val="005B5289"/>
    <w:rsid w:val="005B6704"/>
    <w:rsid w:val="005B7056"/>
    <w:rsid w:val="005C05C1"/>
    <w:rsid w:val="005C155D"/>
    <w:rsid w:val="005C39D2"/>
    <w:rsid w:val="005C43D7"/>
    <w:rsid w:val="005C4461"/>
    <w:rsid w:val="005C4D7C"/>
    <w:rsid w:val="005C4EBB"/>
    <w:rsid w:val="005C6770"/>
    <w:rsid w:val="005C77D6"/>
    <w:rsid w:val="005D016F"/>
    <w:rsid w:val="005D066C"/>
    <w:rsid w:val="005D1213"/>
    <w:rsid w:val="005D2A68"/>
    <w:rsid w:val="005D324C"/>
    <w:rsid w:val="005D3601"/>
    <w:rsid w:val="005D378B"/>
    <w:rsid w:val="005D380A"/>
    <w:rsid w:val="005D501A"/>
    <w:rsid w:val="005D5C37"/>
    <w:rsid w:val="005D6346"/>
    <w:rsid w:val="005D6D6C"/>
    <w:rsid w:val="005E013E"/>
    <w:rsid w:val="005E1DC6"/>
    <w:rsid w:val="005E3548"/>
    <w:rsid w:val="005E38F9"/>
    <w:rsid w:val="005E3EF9"/>
    <w:rsid w:val="005E7432"/>
    <w:rsid w:val="005E7B86"/>
    <w:rsid w:val="005F0AB3"/>
    <w:rsid w:val="005F24D1"/>
    <w:rsid w:val="005F36CA"/>
    <w:rsid w:val="005F3E26"/>
    <w:rsid w:val="005F3E4E"/>
    <w:rsid w:val="005F4815"/>
    <w:rsid w:val="005F5547"/>
    <w:rsid w:val="005F61E7"/>
    <w:rsid w:val="005F6950"/>
    <w:rsid w:val="005F6B7A"/>
    <w:rsid w:val="005F6E1A"/>
    <w:rsid w:val="005F7590"/>
    <w:rsid w:val="005F7CD9"/>
    <w:rsid w:val="006000D3"/>
    <w:rsid w:val="00604284"/>
    <w:rsid w:val="00604B68"/>
    <w:rsid w:val="006052FF"/>
    <w:rsid w:val="0060742A"/>
    <w:rsid w:val="00607954"/>
    <w:rsid w:val="00610EC3"/>
    <w:rsid w:val="00611470"/>
    <w:rsid w:val="00611D4F"/>
    <w:rsid w:val="006126E7"/>
    <w:rsid w:val="00612EA9"/>
    <w:rsid w:val="006144B9"/>
    <w:rsid w:val="0061457C"/>
    <w:rsid w:val="00614DBA"/>
    <w:rsid w:val="00615813"/>
    <w:rsid w:val="006173DA"/>
    <w:rsid w:val="006176A8"/>
    <w:rsid w:val="00617DE4"/>
    <w:rsid w:val="00621052"/>
    <w:rsid w:val="00621945"/>
    <w:rsid w:val="00622135"/>
    <w:rsid w:val="00622D01"/>
    <w:rsid w:val="00623B94"/>
    <w:rsid w:val="00625760"/>
    <w:rsid w:val="00626948"/>
    <w:rsid w:val="00626C7D"/>
    <w:rsid w:val="006302DF"/>
    <w:rsid w:val="00631835"/>
    <w:rsid w:val="006319CD"/>
    <w:rsid w:val="00633067"/>
    <w:rsid w:val="006343DE"/>
    <w:rsid w:val="00634FB8"/>
    <w:rsid w:val="00635836"/>
    <w:rsid w:val="006403E8"/>
    <w:rsid w:val="00641A7B"/>
    <w:rsid w:val="006420F4"/>
    <w:rsid w:val="00642CFD"/>
    <w:rsid w:val="00644414"/>
    <w:rsid w:val="006456F6"/>
    <w:rsid w:val="006462D5"/>
    <w:rsid w:val="00647FE0"/>
    <w:rsid w:val="00650962"/>
    <w:rsid w:val="00652EB3"/>
    <w:rsid w:val="00653A62"/>
    <w:rsid w:val="00654764"/>
    <w:rsid w:val="0065539D"/>
    <w:rsid w:val="00656994"/>
    <w:rsid w:val="00657E13"/>
    <w:rsid w:val="006605A3"/>
    <w:rsid w:val="0066119D"/>
    <w:rsid w:val="006626E7"/>
    <w:rsid w:val="006634E0"/>
    <w:rsid w:val="00664373"/>
    <w:rsid w:val="00665243"/>
    <w:rsid w:val="0066594B"/>
    <w:rsid w:val="0066630F"/>
    <w:rsid w:val="00666D53"/>
    <w:rsid w:val="006675C0"/>
    <w:rsid w:val="00667BBD"/>
    <w:rsid w:val="006704E6"/>
    <w:rsid w:val="00672595"/>
    <w:rsid w:val="006729B9"/>
    <w:rsid w:val="00673205"/>
    <w:rsid w:val="006738BB"/>
    <w:rsid w:val="00674EAD"/>
    <w:rsid w:val="00675BD2"/>
    <w:rsid w:val="00676670"/>
    <w:rsid w:val="00677E3B"/>
    <w:rsid w:val="006825AD"/>
    <w:rsid w:val="006828ED"/>
    <w:rsid w:val="00684D89"/>
    <w:rsid w:val="006851B6"/>
    <w:rsid w:val="00685479"/>
    <w:rsid w:val="00685544"/>
    <w:rsid w:val="00685741"/>
    <w:rsid w:val="006868CD"/>
    <w:rsid w:val="00686E1F"/>
    <w:rsid w:val="00692387"/>
    <w:rsid w:val="00694993"/>
    <w:rsid w:val="00694A13"/>
    <w:rsid w:val="00695375"/>
    <w:rsid w:val="0069539D"/>
    <w:rsid w:val="00695BFD"/>
    <w:rsid w:val="00696F38"/>
    <w:rsid w:val="006970BB"/>
    <w:rsid w:val="0069741E"/>
    <w:rsid w:val="006974DE"/>
    <w:rsid w:val="00697A36"/>
    <w:rsid w:val="006A010E"/>
    <w:rsid w:val="006A0312"/>
    <w:rsid w:val="006A03AE"/>
    <w:rsid w:val="006A09D8"/>
    <w:rsid w:val="006A12AF"/>
    <w:rsid w:val="006A1C00"/>
    <w:rsid w:val="006A55A6"/>
    <w:rsid w:val="006A6E7C"/>
    <w:rsid w:val="006A7F2F"/>
    <w:rsid w:val="006B10E1"/>
    <w:rsid w:val="006B2A9F"/>
    <w:rsid w:val="006B3987"/>
    <w:rsid w:val="006B3E01"/>
    <w:rsid w:val="006B5E53"/>
    <w:rsid w:val="006B64AA"/>
    <w:rsid w:val="006C0A22"/>
    <w:rsid w:val="006C12D5"/>
    <w:rsid w:val="006C1770"/>
    <w:rsid w:val="006C1D69"/>
    <w:rsid w:val="006C2CBD"/>
    <w:rsid w:val="006C32F6"/>
    <w:rsid w:val="006C487E"/>
    <w:rsid w:val="006C7A37"/>
    <w:rsid w:val="006C7D03"/>
    <w:rsid w:val="006D034B"/>
    <w:rsid w:val="006D0888"/>
    <w:rsid w:val="006D171B"/>
    <w:rsid w:val="006D1755"/>
    <w:rsid w:val="006D2D27"/>
    <w:rsid w:val="006E024B"/>
    <w:rsid w:val="006E0659"/>
    <w:rsid w:val="006E0C23"/>
    <w:rsid w:val="006E1007"/>
    <w:rsid w:val="006E1DBF"/>
    <w:rsid w:val="006E2346"/>
    <w:rsid w:val="006E3BC9"/>
    <w:rsid w:val="006E3E25"/>
    <w:rsid w:val="006E4771"/>
    <w:rsid w:val="006E5519"/>
    <w:rsid w:val="006E5C00"/>
    <w:rsid w:val="006E6135"/>
    <w:rsid w:val="006E6171"/>
    <w:rsid w:val="006E6AC0"/>
    <w:rsid w:val="006E707F"/>
    <w:rsid w:val="006F00AD"/>
    <w:rsid w:val="006F405B"/>
    <w:rsid w:val="006F54D4"/>
    <w:rsid w:val="006F698D"/>
    <w:rsid w:val="006F6AAB"/>
    <w:rsid w:val="006F7156"/>
    <w:rsid w:val="007003D5"/>
    <w:rsid w:val="00701746"/>
    <w:rsid w:val="0070179D"/>
    <w:rsid w:val="00701F57"/>
    <w:rsid w:val="007034F3"/>
    <w:rsid w:val="00703A15"/>
    <w:rsid w:val="00703DD4"/>
    <w:rsid w:val="00706AB3"/>
    <w:rsid w:val="0070715D"/>
    <w:rsid w:val="00707DE2"/>
    <w:rsid w:val="00710325"/>
    <w:rsid w:val="00710AA6"/>
    <w:rsid w:val="00711627"/>
    <w:rsid w:val="00711817"/>
    <w:rsid w:val="00714120"/>
    <w:rsid w:val="00714964"/>
    <w:rsid w:val="00721067"/>
    <w:rsid w:val="007234BC"/>
    <w:rsid w:val="007240CB"/>
    <w:rsid w:val="0072428A"/>
    <w:rsid w:val="0072445A"/>
    <w:rsid w:val="00724669"/>
    <w:rsid w:val="00724A86"/>
    <w:rsid w:val="00724EB5"/>
    <w:rsid w:val="00732BF7"/>
    <w:rsid w:val="00732FB7"/>
    <w:rsid w:val="007334BD"/>
    <w:rsid w:val="00733D25"/>
    <w:rsid w:val="0073480B"/>
    <w:rsid w:val="00734E14"/>
    <w:rsid w:val="00735199"/>
    <w:rsid w:val="007416CF"/>
    <w:rsid w:val="007459B1"/>
    <w:rsid w:val="00747161"/>
    <w:rsid w:val="00750373"/>
    <w:rsid w:val="0075112D"/>
    <w:rsid w:val="00751898"/>
    <w:rsid w:val="00752B77"/>
    <w:rsid w:val="00753D36"/>
    <w:rsid w:val="00755AB4"/>
    <w:rsid w:val="00755BFE"/>
    <w:rsid w:val="00755FFD"/>
    <w:rsid w:val="00757CAD"/>
    <w:rsid w:val="00760547"/>
    <w:rsid w:val="007616F3"/>
    <w:rsid w:val="00761E06"/>
    <w:rsid w:val="00762816"/>
    <w:rsid w:val="0076310F"/>
    <w:rsid w:val="00763800"/>
    <w:rsid w:val="007639B5"/>
    <w:rsid w:val="00763FCD"/>
    <w:rsid w:val="00764499"/>
    <w:rsid w:val="00764EB3"/>
    <w:rsid w:val="00765C97"/>
    <w:rsid w:val="00765DB7"/>
    <w:rsid w:val="007663AB"/>
    <w:rsid w:val="00766C1A"/>
    <w:rsid w:val="007700AA"/>
    <w:rsid w:val="00771438"/>
    <w:rsid w:val="00772006"/>
    <w:rsid w:val="00772B49"/>
    <w:rsid w:val="0077454B"/>
    <w:rsid w:val="00775BA0"/>
    <w:rsid w:val="00775DB8"/>
    <w:rsid w:val="00775E1E"/>
    <w:rsid w:val="00776C11"/>
    <w:rsid w:val="00780900"/>
    <w:rsid w:val="00781107"/>
    <w:rsid w:val="00781163"/>
    <w:rsid w:val="007811CC"/>
    <w:rsid w:val="0078138B"/>
    <w:rsid w:val="007816F6"/>
    <w:rsid w:val="00782489"/>
    <w:rsid w:val="007825E0"/>
    <w:rsid w:val="00783335"/>
    <w:rsid w:val="00783770"/>
    <w:rsid w:val="007867C4"/>
    <w:rsid w:val="00787317"/>
    <w:rsid w:val="00787879"/>
    <w:rsid w:val="00787E4A"/>
    <w:rsid w:val="00791529"/>
    <w:rsid w:val="00791B66"/>
    <w:rsid w:val="007924CE"/>
    <w:rsid w:val="007939BF"/>
    <w:rsid w:val="0079445C"/>
    <w:rsid w:val="00796088"/>
    <w:rsid w:val="007974EE"/>
    <w:rsid w:val="00797D7E"/>
    <w:rsid w:val="007A3D90"/>
    <w:rsid w:val="007A5E73"/>
    <w:rsid w:val="007A64D9"/>
    <w:rsid w:val="007A73C1"/>
    <w:rsid w:val="007A7609"/>
    <w:rsid w:val="007B053F"/>
    <w:rsid w:val="007B1DF1"/>
    <w:rsid w:val="007B396B"/>
    <w:rsid w:val="007B495C"/>
    <w:rsid w:val="007B5D4F"/>
    <w:rsid w:val="007B6273"/>
    <w:rsid w:val="007C0AD7"/>
    <w:rsid w:val="007C239B"/>
    <w:rsid w:val="007C3353"/>
    <w:rsid w:val="007C48DB"/>
    <w:rsid w:val="007C6AD4"/>
    <w:rsid w:val="007C6BAA"/>
    <w:rsid w:val="007C7A6D"/>
    <w:rsid w:val="007D0415"/>
    <w:rsid w:val="007D0448"/>
    <w:rsid w:val="007D1E9E"/>
    <w:rsid w:val="007D2C00"/>
    <w:rsid w:val="007D3AAE"/>
    <w:rsid w:val="007D4283"/>
    <w:rsid w:val="007D4A22"/>
    <w:rsid w:val="007D6015"/>
    <w:rsid w:val="007D69B9"/>
    <w:rsid w:val="007D6FE3"/>
    <w:rsid w:val="007E1608"/>
    <w:rsid w:val="007E1B84"/>
    <w:rsid w:val="007E2D14"/>
    <w:rsid w:val="007E3F2D"/>
    <w:rsid w:val="007E46BB"/>
    <w:rsid w:val="007E5D9C"/>
    <w:rsid w:val="007E75E5"/>
    <w:rsid w:val="007F02EC"/>
    <w:rsid w:val="007F051D"/>
    <w:rsid w:val="007F2025"/>
    <w:rsid w:val="007F202A"/>
    <w:rsid w:val="007F23D8"/>
    <w:rsid w:val="007F3A99"/>
    <w:rsid w:val="007F3D70"/>
    <w:rsid w:val="007F43AF"/>
    <w:rsid w:val="007F64D4"/>
    <w:rsid w:val="007F73AF"/>
    <w:rsid w:val="007F7D76"/>
    <w:rsid w:val="00801D9E"/>
    <w:rsid w:val="00802BBA"/>
    <w:rsid w:val="008045D1"/>
    <w:rsid w:val="008047D5"/>
    <w:rsid w:val="0080543D"/>
    <w:rsid w:val="00805A83"/>
    <w:rsid w:val="00805A9A"/>
    <w:rsid w:val="00812AA5"/>
    <w:rsid w:val="00812F46"/>
    <w:rsid w:val="008134E8"/>
    <w:rsid w:val="00814602"/>
    <w:rsid w:val="008150F2"/>
    <w:rsid w:val="008156BC"/>
    <w:rsid w:val="00816325"/>
    <w:rsid w:val="00816774"/>
    <w:rsid w:val="008217BC"/>
    <w:rsid w:val="00822336"/>
    <w:rsid w:val="00822E5D"/>
    <w:rsid w:val="0082311E"/>
    <w:rsid w:val="0082461E"/>
    <w:rsid w:val="00825889"/>
    <w:rsid w:val="00825B82"/>
    <w:rsid w:val="008269DF"/>
    <w:rsid w:val="0082740C"/>
    <w:rsid w:val="00831511"/>
    <w:rsid w:val="00833501"/>
    <w:rsid w:val="00833A7B"/>
    <w:rsid w:val="008340FE"/>
    <w:rsid w:val="00834A4A"/>
    <w:rsid w:val="0083597A"/>
    <w:rsid w:val="00836043"/>
    <w:rsid w:val="008376BC"/>
    <w:rsid w:val="008425C4"/>
    <w:rsid w:val="00843BEA"/>
    <w:rsid w:val="008450E9"/>
    <w:rsid w:val="0084757D"/>
    <w:rsid w:val="0085040B"/>
    <w:rsid w:val="00850691"/>
    <w:rsid w:val="00850DB9"/>
    <w:rsid w:val="00852566"/>
    <w:rsid w:val="00853529"/>
    <w:rsid w:val="008559FB"/>
    <w:rsid w:val="00861A77"/>
    <w:rsid w:val="008626A3"/>
    <w:rsid w:val="00864E87"/>
    <w:rsid w:val="00865CDF"/>
    <w:rsid w:val="00866D3D"/>
    <w:rsid w:val="00867A1D"/>
    <w:rsid w:val="008701A4"/>
    <w:rsid w:val="00870763"/>
    <w:rsid w:val="00871378"/>
    <w:rsid w:val="00872239"/>
    <w:rsid w:val="008769D3"/>
    <w:rsid w:val="00877173"/>
    <w:rsid w:val="00877C2C"/>
    <w:rsid w:val="00880CFF"/>
    <w:rsid w:val="00880ED7"/>
    <w:rsid w:val="00881978"/>
    <w:rsid w:val="00881D61"/>
    <w:rsid w:val="0088210E"/>
    <w:rsid w:val="008867C3"/>
    <w:rsid w:val="00886A90"/>
    <w:rsid w:val="00887154"/>
    <w:rsid w:val="00887826"/>
    <w:rsid w:val="00890019"/>
    <w:rsid w:val="00890545"/>
    <w:rsid w:val="00890CAE"/>
    <w:rsid w:val="008913A0"/>
    <w:rsid w:val="00892E65"/>
    <w:rsid w:val="0089325A"/>
    <w:rsid w:val="00893D69"/>
    <w:rsid w:val="00893E86"/>
    <w:rsid w:val="00894CD9"/>
    <w:rsid w:val="00894E68"/>
    <w:rsid w:val="00895AA6"/>
    <w:rsid w:val="00895B9E"/>
    <w:rsid w:val="00896085"/>
    <w:rsid w:val="0089786A"/>
    <w:rsid w:val="00897914"/>
    <w:rsid w:val="008A0403"/>
    <w:rsid w:val="008A0CC9"/>
    <w:rsid w:val="008A1339"/>
    <w:rsid w:val="008A18AF"/>
    <w:rsid w:val="008A2110"/>
    <w:rsid w:val="008A2506"/>
    <w:rsid w:val="008A369E"/>
    <w:rsid w:val="008A39EE"/>
    <w:rsid w:val="008A437B"/>
    <w:rsid w:val="008A5111"/>
    <w:rsid w:val="008A576B"/>
    <w:rsid w:val="008A639C"/>
    <w:rsid w:val="008A6956"/>
    <w:rsid w:val="008A7210"/>
    <w:rsid w:val="008A7DD5"/>
    <w:rsid w:val="008B00C6"/>
    <w:rsid w:val="008B0187"/>
    <w:rsid w:val="008B0D05"/>
    <w:rsid w:val="008B1E76"/>
    <w:rsid w:val="008B256B"/>
    <w:rsid w:val="008B26EB"/>
    <w:rsid w:val="008B2C11"/>
    <w:rsid w:val="008B3462"/>
    <w:rsid w:val="008C14EF"/>
    <w:rsid w:val="008C2DA4"/>
    <w:rsid w:val="008C2E03"/>
    <w:rsid w:val="008C2E43"/>
    <w:rsid w:val="008C4F1A"/>
    <w:rsid w:val="008C552F"/>
    <w:rsid w:val="008C5D83"/>
    <w:rsid w:val="008C5F91"/>
    <w:rsid w:val="008C5FC1"/>
    <w:rsid w:val="008C6AB8"/>
    <w:rsid w:val="008C71A3"/>
    <w:rsid w:val="008D09BF"/>
    <w:rsid w:val="008D1620"/>
    <w:rsid w:val="008D2E33"/>
    <w:rsid w:val="008D2E8A"/>
    <w:rsid w:val="008D351C"/>
    <w:rsid w:val="008D4C86"/>
    <w:rsid w:val="008D5605"/>
    <w:rsid w:val="008D669F"/>
    <w:rsid w:val="008D6D29"/>
    <w:rsid w:val="008D7CA5"/>
    <w:rsid w:val="008E1290"/>
    <w:rsid w:val="008E12EF"/>
    <w:rsid w:val="008E2C89"/>
    <w:rsid w:val="008E336B"/>
    <w:rsid w:val="008E4568"/>
    <w:rsid w:val="008E50D3"/>
    <w:rsid w:val="008E5F4B"/>
    <w:rsid w:val="008E5F66"/>
    <w:rsid w:val="008E603F"/>
    <w:rsid w:val="008E6226"/>
    <w:rsid w:val="008E6268"/>
    <w:rsid w:val="008F03DB"/>
    <w:rsid w:val="008F0532"/>
    <w:rsid w:val="008F30DE"/>
    <w:rsid w:val="008F3C69"/>
    <w:rsid w:val="008F428A"/>
    <w:rsid w:val="008F46F0"/>
    <w:rsid w:val="008F47F4"/>
    <w:rsid w:val="008F4804"/>
    <w:rsid w:val="008F4CCE"/>
    <w:rsid w:val="008F590E"/>
    <w:rsid w:val="008F6A11"/>
    <w:rsid w:val="008F719C"/>
    <w:rsid w:val="008F7A93"/>
    <w:rsid w:val="00900801"/>
    <w:rsid w:val="009011A3"/>
    <w:rsid w:val="00902C7F"/>
    <w:rsid w:val="00903CC4"/>
    <w:rsid w:val="00903E88"/>
    <w:rsid w:val="00904B74"/>
    <w:rsid w:val="00904F78"/>
    <w:rsid w:val="0090590B"/>
    <w:rsid w:val="00907D94"/>
    <w:rsid w:val="00911480"/>
    <w:rsid w:val="00912474"/>
    <w:rsid w:val="00913A94"/>
    <w:rsid w:val="00913E67"/>
    <w:rsid w:val="00916CA6"/>
    <w:rsid w:val="00920869"/>
    <w:rsid w:val="009210EC"/>
    <w:rsid w:val="009222A6"/>
    <w:rsid w:val="00922B90"/>
    <w:rsid w:val="00923306"/>
    <w:rsid w:val="00923707"/>
    <w:rsid w:val="00924CC0"/>
    <w:rsid w:val="00924E49"/>
    <w:rsid w:val="009255BE"/>
    <w:rsid w:val="00925E64"/>
    <w:rsid w:val="00926ABD"/>
    <w:rsid w:val="009305C9"/>
    <w:rsid w:val="00931FCE"/>
    <w:rsid w:val="00932047"/>
    <w:rsid w:val="00934348"/>
    <w:rsid w:val="00936CEE"/>
    <w:rsid w:val="009377BC"/>
    <w:rsid w:val="00942156"/>
    <w:rsid w:val="00943BFC"/>
    <w:rsid w:val="00943DD0"/>
    <w:rsid w:val="0094670A"/>
    <w:rsid w:val="00950C5C"/>
    <w:rsid w:val="00951EA7"/>
    <w:rsid w:val="009527DD"/>
    <w:rsid w:val="00953C29"/>
    <w:rsid w:val="00957164"/>
    <w:rsid w:val="009576BE"/>
    <w:rsid w:val="00960B4A"/>
    <w:rsid w:val="00960C36"/>
    <w:rsid w:val="00960EBA"/>
    <w:rsid w:val="00961686"/>
    <w:rsid w:val="00964212"/>
    <w:rsid w:val="00964EAE"/>
    <w:rsid w:val="009654C7"/>
    <w:rsid w:val="00970164"/>
    <w:rsid w:val="00970B6C"/>
    <w:rsid w:val="00970F35"/>
    <w:rsid w:val="0097193E"/>
    <w:rsid w:val="0097198F"/>
    <w:rsid w:val="00971DE1"/>
    <w:rsid w:val="00971F69"/>
    <w:rsid w:val="00972C68"/>
    <w:rsid w:val="0097311E"/>
    <w:rsid w:val="009743D0"/>
    <w:rsid w:val="0097470B"/>
    <w:rsid w:val="00975895"/>
    <w:rsid w:val="00976F29"/>
    <w:rsid w:val="00977795"/>
    <w:rsid w:val="00981599"/>
    <w:rsid w:val="00981DFD"/>
    <w:rsid w:val="0098455F"/>
    <w:rsid w:val="00984A87"/>
    <w:rsid w:val="00984DFC"/>
    <w:rsid w:val="009853D3"/>
    <w:rsid w:val="00986448"/>
    <w:rsid w:val="009878A6"/>
    <w:rsid w:val="00987C23"/>
    <w:rsid w:val="00991BB8"/>
    <w:rsid w:val="00992AC1"/>
    <w:rsid w:val="009933ED"/>
    <w:rsid w:val="009940CC"/>
    <w:rsid w:val="00995445"/>
    <w:rsid w:val="0099609D"/>
    <w:rsid w:val="009A0130"/>
    <w:rsid w:val="009A05BF"/>
    <w:rsid w:val="009A0A41"/>
    <w:rsid w:val="009A1725"/>
    <w:rsid w:val="009A2E89"/>
    <w:rsid w:val="009A56DD"/>
    <w:rsid w:val="009A7A01"/>
    <w:rsid w:val="009A7D6E"/>
    <w:rsid w:val="009B0C02"/>
    <w:rsid w:val="009B1B23"/>
    <w:rsid w:val="009B1B2B"/>
    <w:rsid w:val="009B1CEA"/>
    <w:rsid w:val="009B2604"/>
    <w:rsid w:val="009B3B38"/>
    <w:rsid w:val="009B3CC6"/>
    <w:rsid w:val="009B4D33"/>
    <w:rsid w:val="009B5038"/>
    <w:rsid w:val="009B58E8"/>
    <w:rsid w:val="009B5BF1"/>
    <w:rsid w:val="009B6B61"/>
    <w:rsid w:val="009B6F53"/>
    <w:rsid w:val="009B777F"/>
    <w:rsid w:val="009B7A7E"/>
    <w:rsid w:val="009C0FF0"/>
    <w:rsid w:val="009C2A12"/>
    <w:rsid w:val="009C3564"/>
    <w:rsid w:val="009C4E73"/>
    <w:rsid w:val="009C562B"/>
    <w:rsid w:val="009C5C16"/>
    <w:rsid w:val="009C69C3"/>
    <w:rsid w:val="009C6A7A"/>
    <w:rsid w:val="009D09D6"/>
    <w:rsid w:val="009D275C"/>
    <w:rsid w:val="009D30D0"/>
    <w:rsid w:val="009D376F"/>
    <w:rsid w:val="009D3B28"/>
    <w:rsid w:val="009D4B64"/>
    <w:rsid w:val="009D4C6C"/>
    <w:rsid w:val="009D5160"/>
    <w:rsid w:val="009D5A1C"/>
    <w:rsid w:val="009D5B72"/>
    <w:rsid w:val="009D5EDE"/>
    <w:rsid w:val="009E0B92"/>
    <w:rsid w:val="009E177C"/>
    <w:rsid w:val="009E2A67"/>
    <w:rsid w:val="009E3051"/>
    <w:rsid w:val="009E3CDF"/>
    <w:rsid w:val="009E4BC5"/>
    <w:rsid w:val="009E598A"/>
    <w:rsid w:val="009E6C95"/>
    <w:rsid w:val="009E79C4"/>
    <w:rsid w:val="009F012C"/>
    <w:rsid w:val="009F117B"/>
    <w:rsid w:val="009F2B9B"/>
    <w:rsid w:val="009F3248"/>
    <w:rsid w:val="009F3C76"/>
    <w:rsid w:val="009F4558"/>
    <w:rsid w:val="009F4C75"/>
    <w:rsid w:val="009F51FB"/>
    <w:rsid w:val="009F6704"/>
    <w:rsid w:val="00A008F5"/>
    <w:rsid w:val="00A01380"/>
    <w:rsid w:val="00A018E6"/>
    <w:rsid w:val="00A02823"/>
    <w:rsid w:val="00A02D3F"/>
    <w:rsid w:val="00A034A7"/>
    <w:rsid w:val="00A03C2A"/>
    <w:rsid w:val="00A03F1B"/>
    <w:rsid w:val="00A127F1"/>
    <w:rsid w:val="00A12EE8"/>
    <w:rsid w:val="00A130BC"/>
    <w:rsid w:val="00A13BFA"/>
    <w:rsid w:val="00A14144"/>
    <w:rsid w:val="00A1523C"/>
    <w:rsid w:val="00A1525D"/>
    <w:rsid w:val="00A165DF"/>
    <w:rsid w:val="00A16B3F"/>
    <w:rsid w:val="00A17961"/>
    <w:rsid w:val="00A20535"/>
    <w:rsid w:val="00A21933"/>
    <w:rsid w:val="00A22DAA"/>
    <w:rsid w:val="00A23EC8"/>
    <w:rsid w:val="00A24160"/>
    <w:rsid w:val="00A2561E"/>
    <w:rsid w:val="00A25C31"/>
    <w:rsid w:val="00A34064"/>
    <w:rsid w:val="00A345EB"/>
    <w:rsid w:val="00A36544"/>
    <w:rsid w:val="00A40AB8"/>
    <w:rsid w:val="00A41A5E"/>
    <w:rsid w:val="00A42AF2"/>
    <w:rsid w:val="00A438A8"/>
    <w:rsid w:val="00A448FD"/>
    <w:rsid w:val="00A452B7"/>
    <w:rsid w:val="00A456A9"/>
    <w:rsid w:val="00A50008"/>
    <w:rsid w:val="00A51CE9"/>
    <w:rsid w:val="00A52358"/>
    <w:rsid w:val="00A54F97"/>
    <w:rsid w:val="00A55B96"/>
    <w:rsid w:val="00A57090"/>
    <w:rsid w:val="00A578D8"/>
    <w:rsid w:val="00A60CA9"/>
    <w:rsid w:val="00A625A1"/>
    <w:rsid w:val="00A639AD"/>
    <w:rsid w:val="00A6499F"/>
    <w:rsid w:val="00A64AC6"/>
    <w:rsid w:val="00A65324"/>
    <w:rsid w:val="00A653E6"/>
    <w:rsid w:val="00A6610C"/>
    <w:rsid w:val="00A663F3"/>
    <w:rsid w:val="00A70E7E"/>
    <w:rsid w:val="00A72707"/>
    <w:rsid w:val="00A72BD8"/>
    <w:rsid w:val="00A73134"/>
    <w:rsid w:val="00A73441"/>
    <w:rsid w:val="00A750E3"/>
    <w:rsid w:val="00A76AB4"/>
    <w:rsid w:val="00A76B89"/>
    <w:rsid w:val="00A7759C"/>
    <w:rsid w:val="00A7785B"/>
    <w:rsid w:val="00A80EFA"/>
    <w:rsid w:val="00A81D87"/>
    <w:rsid w:val="00A82313"/>
    <w:rsid w:val="00A826B5"/>
    <w:rsid w:val="00A82759"/>
    <w:rsid w:val="00A84CD0"/>
    <w:rsid w:val="00A8589B"/>
    <w:rsid w:val="00A87072"/>
    <w:rsid w:val="00A8772C"/>
    <w:rsid w:val="00A905C5"/>
    <w:rsid w:val="00A90E7C"/>
    <w:rsid w:val="00A93276"/>
    <w:rsid w:val="00A93AE2"/>
    <w:rsid w:val="00A94395"/>
    <w:rsid w:val="00A9477D"/>
    <w:rsid w:val="00A94DBF"/>
    <w:rsid w:val="00A9534B"/>
    <w:rsid w:val="00A96726"/>
    <w:rsid w:val="00A96A96"/>
    <w:rsid w:val="00AA267C"/>
    <w:rsid w:val="00AA2E2F"/>
    <w:rsid w:val="00AA30BC"/>
    <w:rsid w:val="00AA3128"/>
    <w:rsid w:val="00AA3229"/>
    <w:rsid w:val="00AA5577"/>
    <w:rsid w:val="00AA5AD3"/>
    <w:rsid w:val="00AA68EA"/>
    <w:rsid w:val="00AA772B"/>
    <w:rsid w:val="00AB0617"/>
    <w:rsid w:val="00AB0827"/>
    <w:rsid w:val="00AB0C3F"/>
    <w:rsid w:val="00AB0E5F"/>
    <w:rsid w:val="00AB3134"/>
    <w:rsid w:val="00AB33F1"/>
    <w:rsid w:val="00AB48C2"/>
    <w:rsid w:val="00AB4A04"/>
    <w:rsid w:val="00AB4EC6"/>
    <w:rsid w:val="00AB51EA"/>
    <w:rsid w:val="00AB55A2"/>
    <w:rsid w:val="00AB5B07"/>
    <w:rsid w:val="00AB636D"/>
    <w:rsid w:val="00AB676A"/>
    <w:rsid w:val="00AB7954"/>
    <w:rsid w:val="00AC1291"/>
    <w:rsid w:val="00AC13E5"/>
    <w:rsid w:val="00AC4879"/>
    <w:rsid w:val="00AC6878"/>
    <w:rsid w:val="00AD16E3"/>
    <w:rsid w:val="00AD280A"/>
    <w:rsid w:val="00AD3AF7"/>
    <w:rsid w:val="00AD3D51"/>
    <w:rsid w:val="00AD74F6"/>
    <w:rsid w:val="00AD7FAA"/>
    <w:rsid w:val="00AE041E"/>
    <w:rsid w:val="00AE050D"/>
    <w:rsid w:val="00AE0BC6"/>
    <w:rsid w:val="00AE116C"/>
    <w:rsid w:val="00AE2B70"/>
    <w:rsid w:val="00AE3374"/>
    <w:rsid w:val="00AE3AF6"/>
    <w:rsid w:val="00AE3D5E"/>
    <w:rsid w:val="00AE69F1"/>
    <w:rsid w:val="00AE7A1F"/>
    <w:rsid w:val="00AF0C54"/>
    <w:rsid w:val="00AF13C2"/>
    <w:rsid w:val="00AF1ADE"/>
    <w:rsid w:val="00AF27E2"/>
    <w:rsid w:val="00AF3409"/>
    <w:rsid w:val="00AF489A"/>
    <w:rsid w:val="00AF69EF"/>
    <w:rsid w:val="00AF7460"/>
    <w:rsid w:val="00AF793C"/>
    <w:rsid w:val="00B00582"/>
    <w:rsid w:val="00B00941"/>
    <w:rsid w:val="00B03427"/>
    <w:rsid w:val="00B03458"/>
    <w:rsid w:val="00B041E0"/>
    <w:rsid w:val="00B04CB9"/>
    <w:rsid w:val="00B060A4"/>
    <w:rsid w:val="00B065A1"/>
    <w:rsid w:val="00B06979"/>
    <w:rsid w:val="00B07C4B"/>
    <w:rsid w:val="00B106EA"/>
    <w:rsid w:val="00B10B09"/>
    <w:rsid w:val="00B1110B"/>
    <w:rsid w:val="00B1293E"/>
    <w:rsid w:val="00B12D41"/>
    <w:rsid w:val="00B13906"/>
    <w:rsid w:val="00B147B5"/>
    <w:rsid w:val="00B1483E"/>
    <w:rsid w:val="00B15B06"/>
    <w:rsid w:val="00B15B3C"/>
    <w:rsid w:val="00B1665F"/>
    <w:rsid w:val="00B16DEE"/>
    <w:rsid w:val="00B172C3"/>
    <w:rsid w:val="00B1733B"/>
    <w:rsid w:val="00B1771F"/>
    <w:rsid w:val="00B217F5"/>
    <w:rsid w:val="00B22096"/>
    <w:rsid w:val="00B22137"/>
    <w:rsid w:val="00B23DE6"/>
    <w:rsid w:val="00B24DA0"/>
    <w:rsid w:val="00B25A4B"/>
    <w:rsid w:val="00B2619E"/>
    <w:rsid w:val="00B26E9A"/>
    <w:rsid w:val="00B3006B"/>
    <w:rsid w:val="00B30E76"/>
    <w:rsid w:val="00B31296"/>
    <w:rsid w:val="00B3220A"/>
    <w:rsid w:val="00B32CD9"/>
    <w:rsid w:val="00B33601"/>
    <w:rsid w:val="00B33A11"/>
    <w:rsid w:val="00B34D5F"/>
    <w:rsid w:val="00B35D17"/>
    <w:rsid w:val="00B35EEE"/>
    <w:rsid w:val="00B36233"/>
    <w:rsid w:val="00B365CF"/>
    <w:rsid w:val="00B36B28"/>
    <w:rsid w:val="00B401B8"/>
    <w:rsid w:val="00B40C91"/>
    <w:rsid w:val="00B41213"/>
    <w:rsid w:val="00B41AA8"/>
    <w:rsid w:val="00B42B1A"/>
    <w:rsid w:val="00B42C28"/>
    <w:rsid w:val="00B442DF"/>
    <w:rsid w:val="00B45A54"/>
    <w:rsid w:val="00B45C8B"/>
    <w:rsid w:val="00B4629C"/>
    <w:rsid w:val="00B47437"/>
    <w:rsid w:val="00B50803"/>
    <w:rsid w:val="00B52063"/>
    <w:rsid w:val="00B52997"/>
    <w:rsid w:val="00B539FF"/>
    <w:rsid w:val="00B54C6F"/>
    <w:rsid w:val="00B54CA1"/>
    <w:rsid w:val="00B54D82"/>
    <w:rsid w:val="00B55604"/>
    <w:rsid w:val="00B559F4"/>
    <w:rsid w:val="00B56032"/>
    <w:rsid w:val="00B5698B"/>
    <w:rsid w:val="00B600BD"/>
    <w:rsid w:val="00B6349C"/>
    <w:rsid w:val="00B63C45"/>
    <w:rsid w:val="00B659E1"/>
    <w:rsid w:val="00B65F68"/>
    <w:rsid w:val="00B67A5F"/>
    <w:rsid w:val="00B71757"/>
    <w:rsid w:val="00B73CA4"/>
    <w:rsid w:val="00B755CE"/>
    <w:rsid w:val="00B75EDC"/>
    <w:rsid w:val="00B7772D"/>
    <w:rsid w:val="00B809BD"/>
    <w:rsid w:val="00B811B1"/>
    <w:rsid w:val="00B81823"/>
    <w:rsid w:val="00B819E7"/>
    <w:rsid w:val="00B81CBB"/>
    <w:rsid w:val="00B82551"/>
    <w:rsid w:val="00B831F4"/>
    <w:rsid w:val="00B839A7"/>
    <w:rsid w:val="00B83E6D"/>
    <w:rsid w:val="00B83EB7"/>
    <w:rsid w:val="00B84566"/>
    <w:rsid w:val="00B851F5"/>
    <w:rsid w:val="00B853B5"/>
    <w:rsid w:val="00B86294"/>
    <w:rsid w:val="00B8772D"/>
    <w:rsid w:val="00B87DC8"/>
    <w:rsid w:val="00B93E95"/>
    <w:rsid w:val="00B949A6"/>
    <w:rsid w:val="00B949C3"/>
    <w:rsid w:val="00B966C7"/>
    <w:rsid w:val="00B96EED"/>
    <w:rsid w:val="00B975CD"/>
    <w:rsid w:val="00B97715"/>
    <w:rsid w:val="00B97DCA"/>
    <w:rsid w:val="00BA0209"/>
    <w:rsid w:val="00BA0672"/>
    <w:rsid w:val="00BA0E3B"/>
    <w:rsid w:val="00BA0F4D"/>
    <w:rsid w:val="00BA23D2"/>
    <w:rsid w:val="00BA24DA"/>
    <w:rsid w:val="00BA5FD5"/>
    <w:rsid w:val="00BA66D9"/>
    <w:rsid w:val="00BA6BAB"/>
    <w:rsid w:val="00BA7C58"/>
    <w:rsid w:val="00BB0A7D"/>
    <w:rsid w:val="00BB233E"/>
    <w:rsid w:val="00BB29A9"/>
    <w:rsid w:val="00BB37FD"/>
    <w:rsid w:val="00BB55CD"/>
    <w:rsid w:val="00BB5740"/>
    <w:rsid w:val="00BB6058"/>
    <w:rsid w:val="00BB652D"/>
    <w:rsid w:val="00BB7932"/>
    <w:rsid w:val="00BB7CD9"/>
    <w:rsid w:val="00BC0011"/>
    <w:rsid w:val="00BC03A1"/>
    <w:rsid w:val="00BC0C71"/>
    <w:rsid w:val="00BC14C7"/>
    <w:rsid w:val="00BC14EF"/>
    <w:rsid w:val="00BC19FE"/>
    <w:rsid w:val="00BC2FD4"/>
    <w:rsid w:val="00BC3444"/>
    <w:rsid w:val="00BC3784"/>
    <w:rsid w:val="00BC40E4"/>
    <w:rsid w:val="00BC66CA"/>
    <w:rsid w:val="00BD0801"/>
    <w:rsid w:val="00BD0BD2"/>
    <w:rsid w:val="00BD1B86"/>
    <w:rsid w:val="00BD22AC"/>
    <w:rsid w:val="00BD520C"/>
    <w:rsid w:val="00BD58E5"/>
    <w:rsid w:val="00BD6156"/>
    <w:rsid w:val="00BD6937"/>
    <w:rsid w:val="00BD74EE"/>
    <w:rsid w:val="00BE105B"/>
    <w:rsid w:val="00BE277C"/>
    <w:rsid w:val="00BE2FA4"/>
    <w:rsid w:val="00BE3553"/>
    <w:rsid w:val="00BE384E"/>
    <w:rsid w:val="00BE41C6"/>
    <w:rsid w:val="00BE4334"/>
    <w:rsid w:val="00BE7650"/>
    <w:rsid w:val="00BF19E1"/>
    <w:rsid w:val="00BF1E43"/>
    <w:rsid w:val="00BF2150"/>
    <w:rsid w:val="00BF21BA"/>
    <w:rsid w:val="00BF34E1"/>
    <w:rsid w:val="00BF4335"/>
    <w:rsid w:val="00BF4422"/>
    <w:rsid w:val="00BF4AE0"/>
    <w:rsid w:val="00BF6883"/>
    <w:rsid w:val="00C02871"/>
    <w:rsid w:val="00C0290E"/>
    <w:rsid w:val="00C0361C"/>
    <w:rsid w:val="00C0629D"/>
    <w:rsid w:val="00C06ABA"/>
    <w:rsid w:val="00C06DFC"/>
    <w:rsid w:val="00C11807"/>
    <w:rsid w:val="00C11B24"/>
    <w:rsid w:val="00C126F8"/>
    <w:rsid w:val="00C1389C"/>
    <w:rsid w:val="00C144F5"/>
    <w:rsid w:val="00C146BF"/>
    <w:rsid w:val="00C147DD"/>
    <w:rsid w:val="00C15087"/>
    <w:rsid w:val="00C15759"/>
    <w:rsid w:val="00C15DA4"/>
    <w:rsid w:val="00C16280"/>
    <w:rsid w:val="00C16690"/>
    <w:rsid w:val="00C17082"/>
    <w:rsid w:val="00C171A3"/>
    <w:rsid w:val="00C209F5"/>
    <w:rsid w:val="00C2239C"/>
    <w:rsid w:val="00C23217"/>
    <w:rsid w:val="00C24332"/>
    <w:rsid w:val="00C24D5A"/>
    <w:rsid w:val="00C24D6E"/>
    <w:rsid w:val="00C267FD"/>
    <w:rsid w:val="00C27297"/>
    <w:rsid w:val="00C276F7"/>
    <w:rsid w:val="00C30306"/>
    <w:rsid w:val="00C31912"/>
    <w:rsid w:val="00C31B6E"/>
    <w:rsid w:val="00C31E5B"/>
    <w:rsid w:val="00C32B20"/>
    <w:rsid w:val="00C33B9A"/>
    <w:rsid w:val="00C347EE"/>
    <w:rsid w:val="00C3490E"/>
    <w:rsid w:val="00C3524F"/>
    <w:rsid w:val="00C35F6A"/>
    <w:rsid w:val="00C41565"/>
    <w:rsid w:val="00C41569"/>
    <w:rsid w:val="00C4162D"/>
    <w:rsid w:val="00C421CA"/>
    <w:rsid w:val="00C42A16"/>
    <w:rsid w:val="00C42F3F"/>
    <w:rsid w:val="00C43B37"/>
    <w:rsid w:val="00C44901"/>
    <w:rsid w:val="00C44EDA"/>
    <w:rsid w:val="00C458DC"/>
    <w:rsid w:val="00C46227"/>
    <w:rsid w:val="00C4648B"/>
    <w:rsid w:val="00C4728F"/>
    <w:rsid w:val="00C47D0D"/>
    <w:rsid w:val="00C50127"/>
    <w:rsid w:val="00C5147B"/>
    <w:rsid w:val="00C526A3"/>
    <w:rsid w:val="00C56A6F"/>
    <w:rsid w:val="00C56C6C"/>
    <w:rsid w:val="00C57A90"/>
    <w:rsid w:val="00C60188"/>
    <w:rsid w:val="00C61587"/>
    <w:rsid w:val="00C64340"/>
    <w:rsid w:val="00C64F03"/>
    <w:rsid w:val="00C666E9"/>
    <w:rsid w:val="00C669FB"/>
    <w:rsid w:val="00C66FFA"/>
    <w:rsid w:val="00C67648"/>
    <w:rsid w:val="00C728D6"/>
    <w:rsid w:val="00C7366D"/>
    <w:rsid w:val="00C7618E"/>
    <w:rsid w:val="00C7639C"/>
    <w:rsid w:val="00C77528"/>
    <w:rsid w:val="00C77AC8"/>
    <w:rsid w:val="00C8065A"/>
    <w:rsid w:val="00C81287"/>
    <w:rsid w:val="00C81DA4"/>
    <w:rsid w:val="00C824D5"/>
    <w:rsid w:val="00C82C78"/>
    <w:rsid w:val="00C83BC2"/>
    <w:rsid w:val="00C83E49"/>
    <w:rsid w:val="00C8594A"/>
    <w:rsid w:val="00C85C5B"/>
    <w:rsid w:val="00C8602C"/>
    <w:rsid w:val="00C87BC4"/>
    <w:rsid w:val="00C909CA"/>
    <w:rsid w:val="00C92787"/>
    <w:rsid w:val="00C92918"/>
    <w:rsid w:val="00C92F3C"/>
    <w:rsid w:val="00C93C76"/>
    <w:rsid w:val="00C96787"/>
    <w:rsid w:val="00C96BA0"/>
    <w:rsid w:val="00C9786A"/>
    <w:rsid w:val="00CA0C83"/>
    <w:rsid w:val="00CA2FB6"/>
    <w:rsid w:val="00CA349D"/>
    <w:rsid w:val="00CA352A"/>
    <w:rsid w:val="00CA3E6A"/>
    <w:rsid w:val="00CA4155"/>
    <w:rsid w:val="00CA50ED"/>
    <w:rsid w:val="00CA59CF"/>
    <w:rsid w:val="00CA736E"/>
    <w:rsid w:val="00CA782D"/>
    <w:rsid w:val="00CB09BD"/>
    <w:rsid w:val="00CB2117"/>
    <w:rsid w:val="00CB3E69"/>
    <w:rsid w:val="00CB456F"/>
    <w:rsid w:val="00CB4883"/>
    <w:rsid w:val="00CB7E18"/>
    <w:rsid w:val="00CC040A"/>
    <w:rsid w:val="00CC21CF"/>
    <w:rsid w:val="00CC396A"/>
    <w:rsid w:val="00CC3B83"/>
    <w:rsid w:val="00CC3D11"/>
    <w:rsid w:val="00CC489C"/>
    <w:rsid w:val="00CC53E1"/>
    <w:rsid w:val="00CC5BE1"/>
    <w:rsid w:val="00CC6045"/>
    <w:rsid w:val="00CD04AA"/>
    <w:rsid w:val="00CD446D"/>
    <w:rsid w:val="00CD476F"/>
    <w:rsid w:val="00CD528A"/>
    <w:rsid w:val="00CD6F89"/>
    <w:rsid w:val="00CE1785"/>
    <w:rsid w:val="00CE1C39"/>
    <w:rsid w:val="00CE1F29"/>
    <w:rsid w:val="00CE2A13"/>
    <w:rsid w:val="00CE2F0A"/>
    <w:rsid w:val="00CE3A44"/>
    <w:rsid w:val="00CE3E9C"/>
    <w:rsid w:val="00CE7589"/>
    <w:rsid w:val="00CE7DB3"/>
    <w:rsid w:val="00CF080B"/>
    <w:rsid w:val="00CF1522"/>
    <w:rsid w:val="00CF1F47"/>
    <w:rsid w:val="00CF27C0"/>
    <w:rsid w:val="00CF3C02"/>
    <w:rsid w:val="00CF3EA8"/>
    <w:rsid w:val="00CF3FFF"/>
    <w:rsid w:val="00CF4140"/>
    <w:rsid w:val="00CF6275"/>
    <w:rsid w:val="00D00B9A"/>
    <w:rsid w:val="00D032B5"/>
    <w:rsid w:val="00D033AE"/>
    <w:rsid w:val="00D034D2"/>
    <w:rsid w:val="00D039F6"/>
    <w:rsid w:val="00D05ADC"/>
    <w:rsid w:val="00D06265"/>
    <w:rsid w:val="00D104CA"/>
    <w:rsid w:val="00D117C8"/>
    <w:rsid w:val="00D11A34"/>
    <w:rsid w:val="00D122C9"/>
    <w:rsid w:val="00D143D9"/>
    <w:rsid w:val="00D1457B"/>
    <w:rsid w:val="00D15596"/>
    <w:rsid w:val="00D155AF"/>
    <w:rsid w:val="00D1706A"/>
    <w:rsid w:val="00D224FB"/>
    <w:rsid w:val="00D23DC9"/>
    <w:rsid w:val="00D24B66"/>
    <w:rsid w:val="00D26812"/>
    <w:rsid w:val="00D27572"/>
    <w:rsid w:val="00D27CE8"/>
    <w:rsid w:val="00D31865"/>
    <w:rsid w:val="00D324A8"/>
    <w:rsid w:val="00D32C8E"/>
    <w:rsid w:val="00D33E45"/>
    <w:rsid w:val="00D34A21"/>
    <w:rsid w:val="00D34D04"/>
    <w:rsid w:val="00D34F9E"/>
    <w:rsid w:val="00D37261"/>
    <w:rsid w:val="00D379E4"/>
    <w:rsid w:val="00D37AEF"/>
    <w:rsid w:val="00D41CD5"/>
    <w:rsid w:val="00D421D0"/>
    <w:rsid w:val="00D42BD3"/>
    <w:rsid w:val="00D44F01"/>
    <w:rsid w:val="00D44F1B"/>
    <w:rsid w:val="00D456F8"/>
    <w:rsid w:val="00D45874"/>
    <w:rsid w:val="00D45877"/>
    <w:rsid w:val="00D464BA"/>
    <w:rsid w:val="00D47217"/>
    <w:rsid w:val="00D50A7D"/>
    <w:rsid w:val="00D52D5D"/>
    <w:rsid w:val="00D53E71"/>
    <w:rsid w:val="00D56A16"/>
    <w:rsid w:val="00D56F59"/>
    <w:rsid w:val="00D57132"/>
    <w:rsid w:val="00D57242"/>
    <w:rsid w:val="00D600AF"/>
    <w:rsid w:val="00D60D3C"/>
    <w:rsid w:val="00D60DAB"/>
    <w:rsid w:val="00D61E86"/>
    <w:rsid w:val="00D61EF3"/>
    <w:rsid w:val="00D622A3"/>
    <w:rsid w:val="00D6285F"/>
    <w:rsid w:val="00D63E3B"/>
    <w:rsid w:val="00D63E51"/>
    <w:rsid w:val="00D66021"/>
    <w:rsid w:val="00D66289"/>
    <w:rsid w:val="00D71496"/>
    <w:rsid w:val="00D724CF"/>
    <w:rsid w:val="00D740E6"/>
    <w:rsid w:val="00D75525"/>
    <w:rsid w:val="00D75E14"/>
    <w:rsid w:val="00D76A16"/>
    <w:rsid w:val="00D76C00"/>
    <w:rsid w:val="00D772DF"/>
    <w:rsid w:val="00D77765"/>
    <w:rsid w:val="00D80169"/>
    <w:rsid w:val="00D809A7"/>
    <w:rsid w:val="00D811AF"/>
    <w:rsid w:val="00D82271"/>
    <w:rsid w:val="00D82276"/>
    <w:rsid w:val="00D83ABD"/>
    <w:rsid w:val="00D84EC3"/>
    <w:rsid w:val="00D85226"/>
    <w:rsid w:val="00D86A8F"/>
    <w:rsid w:val="00D90620"/>
    <w:rsid w:val="00D90BFF"/>
    <w:rsid w:val="00D91301"/>
    <w:rsid w:val="00D9169D"/>
    <w:rsid w:val="00D91E46"/>
    <w:rsid w:val="00D92ADB"/>
    <w:rsid w:val="00D93076"/>
    <w:rsid w:val="00D9574A"/>
    <w:rsid w:val="00D96374"/>
    <w:rsid w:val="00D96A53"/>
    <w:rsid w:val="00D97634"/>
    <w:rsid w:val="00DA0FE2"/>
    <w:rsid w:val="00DA10C3"/>
    <w:rsid w:val="00DA13C5"/>
    <w:rsid w:val="00DA2708"/>
    <w:rsid w:val="00DA3A21"/>
    <w:rsid w:val="00DA3BF3"/>
    <w:rsid w:val="00DA3F8C"/>
    <w:rsid w:val="00DA7DD8"/>
    <w:rsid w:val="00DB1389"/>
    <w:rsid w:val="00DB1545"/>
    <w:rsid w:val="00DB4E53"/>
    <w:rsid w:val="00DB719F"/>
    <w:rsid w:val="00DC2027"/>
    <w:rsid w:val="00DC27C3"/>
    <w:rsid w:val="00DC2CFB"/>
    <w:rsid w:val="00DC432E"/>
    <w:rsid w:val="00DC56EA"/>
    <w:rsid w:val="00DC6549"/>
    <w:rsid w:val="00DC74C2"/>
    <w:rsid w:val="00DC7ECA"/>
    <w:rsid w:val="00DD178E"/>
    <w:rsid w:val="00DD2F2F"/>
    <w:rsid w:val="00DD3434"/>
    <w:rsid w:val="00DD343C"/>
    <w:rsid w:val="00DD3664"/>
    <w:rsid w:val="00DD3D05"/>
    <w:rsid w:val="00DD3F90"/>
    <w:rsid w:val="00DD41D2"/>
    <w:rsid w:val="00DD530C"/>
    <w:rsid w:val="00DD67A2"/>
    <w:rsid w:val="00DD68DF"/>
    <w:rsid w:val="00DD6910"/>
    <w:rsid w:val="00DD6F8A"/>
    <w:rsid w:val="00DD7817"/>
    <w:rsid w:val="00DD7836"/>
    <w:rsid w:val="00DE0E5F"/>
    <w:rsid w:val="00DE1540"/>
    <w:rsid w:val="00DE2C51"/>
    <w:rsid w:val="00DE2F63"/>
    <w:rsid w:val="00DE37E2"/>
    <w:rsid w:val="00DE392D"/>
    <w:rsid w:val="00DE4550"/>
    <w:rsid w:val="00DE5E65"/>
    <w:rsid w:val="00DE6596"/>
    <w:rsid w:val="00DE6EB7"/>
    <w:rsid w:val="00DE73F5"/>
    <w:rsid w:val="00DE787F"/>
    <w:rsid w:val="00DF02A0"/>
    <w:rsid w:val="00DF3D01"/>
    <w:rsid w:val="00DF4EB4"/>
    <w:rsid w:val="00DF69DE"/>
    <w:rsid w:val="00DF7D3B"/>
    <w:rsid w:val="00E01E1C"/>
    <w:rsid w:val="00E02C35"/>
    <w:rsid w:val="00E0545A"/>
    <w:rsid w:val="00E057B9"/>
    <w:rsid w:val="00E06F4B"/>
    <w:rsid w:val="00E0763D"/>
    <w:rsid w:val="00E1032D"/>
    <w:rsid w:val="00E1063E"/>
    <w:rsid w:val="00E10A35"/>
    <w:rsid w:val="00E10C15"/>
    <w:rsid w:val="00E1131A"/>
    <w:rsid w:val="00E125B4"/>
    <w:rsid w:val="00E14CC4"/>
    <w:rsid w:val="00E14F46"/>
    <w:rsid w:val="00E14FD4"/>
    <w:rsid w:val="00E155F3"/>
    <w:rsid w:val="00E15A88"/>
    <w:rsid w:val="00E160AD"/>
    <w:rsid w:val="00E211F7"/>
    <w:rsid w:val="00E230B7"/>
    <w:rsid w:val="00E23228"/>
    <w:rsid w:val="00E234F4"/>
    <w:rsid w:val="00E23C16"/>
    <w:rsid w:val="00E24452"/>
    <w:rsid w:val="00E24859"/>
    <w:rsid w:val="00E253E8"/>
    <w:rsid w:val="00E25C64"/>
    <w:rsid w:val="00E26552"/>
    <w:rsid w:val="00E319B6"/>
    <w:rsid w:val="00E323CE"/>
    <w:rsid w:val="00E32767"/>
    <w:rsid w:val="00E32906"/>
    <w:rsid w:val="00E34238"/>
    <w:rsid w:val="00E347F2"/>
    <w:rsid w:val="00E34D71"/>
    <w:rsid w:val="00E35AA6"/>
    <w:rsid w:val="00E35FBA"/>
    <w:rsid w:val="00E36019"/>
    <w:rsid w:val="00E36191"/>
    <w:rsid w:val="00E3754F"/>
    <w:rsid w:val="00E40C2B"/>
    <w:rsid w:val="00E4168E"/>
    <w:rsid w:val="00E417F3"/>
    <w:rsid w:val="00E42244"/>
    <w:rsid w:val="00E42681"/>
    <w:rsid w:val="00E42EE3"/>
    <w:rsid w:val="00E432A0"/>
    <w:rsid w:val="00E43374"/>
    <w:rsid w:val="00E43B78"/>
    <w:rsid w:val="00E44498"/>
    <w:rsid w:val="00E456D0"/>
    <w:rsid w:val="00E45B9C"/>
    <w:rsid w:val="00E46136"/>
    <w:rsid w:val="00E463A2"/>
    <w:rsid w:val="00E47828"/>
    <w:rsid w:val="00E47C2E"/>
    <w:rsid w:val="00E50813"/>
    <w:rsid w:val="00E50C65"/>
    <w:rsid w:val="00E522B7"/>
    <w:rsid w:val="00E52EC2"/>
    <w:rsid w:val="00E53A54"/>
    <w:rsid w:val="00E56159"/>
    <w:rsid w:val="00E607C1"/>
    <w:rsid w:val="00E60C51"/>
    <w:rsid w:val="00E6106E"/>
    <w:rsid w:val="00E61882"/>
    <w:rsid w:val="00E61DE6"/>
    <w:rsid w:val="00E621B0"/>
    <w:rsid w:val="00E6281C"/>
    <w:rsid w:val="00E63929"/>
    <w:rsid w:val="00E646F1"/>
    <w:rsid w:val="00E64829"/>
    <w:rsid w:val="00E66444"/>
    <w:rsid w:val="00E671DF"/>
    <w:rsid w:val="00E6735D"/>
    <w:rsid w:val="00E67594"/>
    <w:rsid w:val="00E70E71"/>
    <w:rsid w:val="00E71A36"/>
    <w:rsid w:val="00E71EC9"/>
    <w:rsid w:val="00E71FF2"/>
    <w:rsid w:val="00E73CC8"/>
    <w:rsid w:val="00E73F8E"/>
    <w:rsid w:val="00E77BB4"/>
    <w:rsid w:val="00E77D2D"/>
    <w:rsid w:val="00E77E07"/>
    <w:rsid w:val="00E84169"/>
    <w:rsid w:val="00E857A6"/>
    <w:rsid w:val="00E85968"/>
    <w:rsid w:val="00E8646B"/>
    <w:rsid w:val="00E86F8A"/>
    <w:rsid w:val="00E877C8"/>
    <w:rsid w:val="00E877E9"/>
    <w:rsid w:val="00E90703"/>
    <w:rsid w:val="00E90DD5"/>
    <w:rsid w:val="00E90F00"/>
    <w:rsid w:val="00E912F1"/>
    <w:rsid w:val="00E91447"/>
    <w:rsid w:val="00E92F30"/>
    <w:rsid w:val="00E93762"/>
    <w:rsid w:val="00E93838"/>
    <w:rsid w:val="00E940E7"/>
    <w:rsid w:val="00E9506E"/>
    <w:rsid w:val="00E966F5"/>
    <w:rsid w:val="00E979CD"/>
    <w:rsid w:val="00EA011B"/>
    <w:rsid w:val="00EA098F"/>
    <w:rsid w:val="00EA0D9D"/>
    <w:rsid w:val="00EA15D9"/>
    <w:rsid w:val="00EA1DA5"/>
    <w:rsid w:val="00EA27AC"/>
    <w:rsid w:val="00EA2F66"/>
    <w:rsid w:val="00EA2F82"/>
    <w:rsid w:val="00EA3E4D"/>
    <w:rsid w:val="00EA422A"/>
    <w:rsid w:val="00EA72AD"/>
    <w:rsid w:val="00EB05DF"/>
    <w:rsid w:val="00EB0672"/>
    <w:rsid w:val="00EB0DCB"/>
    <w:rsid w:val="00EB18ED"/>
    <w:rsid w:val="00EB1BFA"/>
    <w:rsid w:val="00EB2619"/>
    <w:rsid w:val="00EB26FA"/>
    <w:rsid w:val="00EB299B"/>
    <w:rsid w:val="00EB2B98"/>
    <w:rsid w:val="00EB2C45"/>
    <w:rsid w:val="00EB348A"/>
    <w:rsid w:val="00EB3664"/>
    <w:rsid w:val="00EB7499"/>
    <w:rsid w:val="00EC15B0"/>
    <w:rsid w:val="00EC179D"/>
    <w:rsid w:val="00EC1961"/>
    <w:rsid w:val="00EC2D32"/>
    <w:rsid w:val="00EC42D3"/>
    <w:rsid w:val="00EC46D7"/>
    <w:rsid w:val="00EC500F"/>
    <w:rsid w:val="00EC568F"/>
    <w:rsid w:val="00EC73B2"/>
    <w:rsid w:val="00ED23F4"/>
    <w:rsid w:val="00ED2ED7"/>
    <w:rsid w:val="00ED3045"/>
    <w:rsid w:val="00ED339D"/>
    <w:rsid w:val="00ED3943"/>
    <w:rsid w:val="00ED5CD6"/>
    <w:rsid w:val="00ED6D5D"/>
    <w:rsid w:val="00ED7B5E"/>
    <w:rsid w:val="00EE09CC"/>
    <w:rsid w:val="00EE1CC3"/>
    <w:rsid w:val="00EE232E"/>
    <w:rsid w:val="00EE3740"/>
    <w:rsid w:val="00EE3B85"/>
    <w:rsid w:val="00EE4B44"/>
    <w:rsid w:val="00EE6752"/>
    <w:rsid w:val="00EE6E30"/>
    <w:rsid w:val="00EE747F"/>
    <w:rsid w:val="00EF0813"/>
    <w:rsid w:val="00EF099A"/>
    <w:rsid w:val="00EF2617"/>
    <w:rsid w:val="00EF27CD"/>
    <w:rsid w:val="00EF32FB"/>
    <w:rsid w:val="00EF4128"/>
    <w:rsid w:val="00EF5152"/>
    <w:rsid w:val="00EF56B8"/>
    <w:rsid w:val="00EF7AF6"/>
    <w:rsid w:val="00F00A8F"/>
    <w:rsid w:val="00F01600"/>
    <w:rsid w:val="00F01FE1"/>
    <w:rsid w:val="00F02C51"/>
    <w:rsid w:val="00F03613"/>
    <w:rsid w:val="00F03743"/>
    <w:rsid w:val="00F03AF4"/>
    <w:rsid w:val="00F04991"/>
    <w:rsid w:val="00F04D60"/>
    <w:rsid w:val="00F04EA8"/>
    <w:rsid w:val="00F053BB"/>
    <w:rsid w:val="00F07603"/>
    <w:rsid w:val="00F13123"/>
    <w:rsid w:val="00F1455D"/>
    <w:rsid w:val="00F1472A"/>
    <w:rsid w:val="00F1481C"/>
    <w:rsid w:val="00F17148"/>
    <w:rsid w:val="00F20917"/>
    <w:rsid w:val="00F21A79"/>
    <w:rsid w:val="00F23487"/>
    <w:rsid w:val="00F23DCA"/>
    <w:rsid w:val="00F23E65"/>
    <w:rsid w:val="00F2513D"/>
    <w:rsid w:val="00F26180"/>
    <w:rsid w:val="00F311F0"/>
    <w:rsid w:val="00F3196F"/>
    <w:rsid w:val="00F31E84"/>
    <w:rsid w:val="00F32530"/>
    <w:rsid w:val="00F32995"/>
    <w:rsid w:val="00F33992"/>
    <w:rsid w:val="00F353A3"/>
    <w:rsid w:val="00F40EF3"/>
    <w:rsid w:val="00F4282C"/>
    <w:rsid w:val="00F43DCE"/>
    <w:rsid w:val="00F44284"/>
    <w:rsid w:val="00F44DC3"/>
    <w:rsid w:val="00F44F02"/>
    <w:rsid w:val="00F4503E"/>
    <w:rsid w:val="00F45D32"/>
    <w:rsid w:val="00F46366"/>
    <w:rsid w:val="00F46FBA"/>
    <w:rsid w:val="00F47448"/>
    <w:rsid w:val="00F51233"/>
    <w:rsid w:val="00F51A36"/>
    <w:rsid w:val="00F52D7A"/>
    <w:rsid w:val="00F548A8"/>
    <w:rsid w:val="00F55FFA"/>
    <w:rsid w:val="00F57652"/>
    <w:rsid w:val="00F57C20"/>
    <w:rsid w:val="00F600C6"/>
    <w:rsid w:val="00F60292"/>
    <w:rsid w:val="00F609D8"/>
    <w:rsid w:val="00F61ADE"/>
    <w:rsid w:val="00F644FE"/>
    <w:rsid w:val="00F663D4"/>
    <w:rsid w:val="00F67898"/>
    <w:rsid w:val="00F678A8"/>
    <w:rsid w:val="00F679B1"/>
    <w:rsid w:val="00F71263"/>
    <w:rsid w:val="00F71363"/>
    <w:rsid w:val="00F72779"/>
    <w:rsid w:val="00F72D83"/>
    <w:rsid w:val="00F7343B"/>
    <w:rsid w:val="00F73AD5"/>
    <w:rsid w:val="00F73B93"/>
    <w:rsid w:val="00F756F9"/>
    <w:rsid w:val="00F76290"/>
    <w:rsid w:val="00F7729D"/>
    <w:rsid w:val="00F81F32"/>
    <w:rsid w:val="00F820DF"/>
    <w:rsid w:val="00F82502"/>
    <w:rsid w:val="00F8259B"/>
    <w:rsid w:val="00F826A8"/>
    <w:rsid w:val="00F844E5"/>
    <w:rsid w:val="00F85217"/>
    <w:rsid w:val="00F85704"/>
    <w:rsid w:val="00F86D02"/>
    <w:rsid w:val="00F87940"/>
    <w:rsid w:val="00F9089F"/>
    <w:rsid w:val="00F93F03"/>
    <w:rsid w:val="00F94976"/>
    <w:rsid w:val="00F94DBA"/>
    <w:rsid w:val="00F95A20"/>
    <w:rsid w:val="00F9635B"/>
    <w:rsid w:val="00FA13A1"/>
    <w:rsid w:val="00FA236F"/>
    <w:rsid w:val="00FA353C"/>
    <w:rsid w:val="00FA374F"/>
    <w:rsid w:val="00FA382A"/>
    <w:rsid w:val="00FA4C6A"/>
    <w:rsid w:val="00FA50E0"/>
    <w:rsid w:val="00FA66FA"/>
    <w:rsid w:val="00FA6841"/>
    <w:rsid w:val="00FA699E"/>
    <w:rsid w:val="00FA71AD"/>
    <w:rsid w:val="00FB00E3"/>
    <w:rsid w:val="00FB0557"/>
    <w:rsid w:val="00FB1C65"/>
    <w:rsid w:val="00FB31B9"/>
    <w:rsid w:val="00FB42E1"/>
    <w:rsid w:val="00FB4733"/>
    <w:rsid w:val="00FB4771"/>
    <w:rsid w:val="00FB5E0B"/>
    <w:rsid w:val="00FB6451"/>
    <w:rsid w:val="00FB66B5"/>
    <w:rsid w:val="00FB6DB1"/>
    <w:rsid w:val="00FB6E80"/>
    <w:rsid w:val="00FB794F"/>
    <w:rsid w:val="00FB7C0A"/>
    <w:rsid w:val="00FC0312"/>
    <w:rsid w:val="00FC2B5A"/>
    <w:rsid w:val="00FC32C9"/>
    <w:rsid w:val="00FC35B5"/>
    <w:rsid w:val="00FC36D4"/>
    <w:rsid w:val="00FC680C"/>
    <w:rsid w:val="00FC68EE"/>
    <w:rsid w:val="00FC7779"/>
    <w:rsid w:val="00FC7BED"/>
    <w:rsid w:val="00FD1758"/>
    <w:rsid w:val="00FD1B4F"/>
    <w:rsid w:val="00FD2AFD"/>
    <w:rsid w:val="00FD398C"/>
    <w:rsid w:val="00FD430F"/>
    <w:rsid w:val="00FD46E3"/>
    <w:rsid w:val="00FD5098"/>
    <w:rsid w:val="00FD50C4"/>
    <w:rsid w:val="00FD67A5"/>
    <w:rsid w:val="00FD6B76"/>
    <w:rsid w:val="00FD74B0"/>
    <w:rsid w:val="00FD7AA1"/>
    <w:rsid w:val="00FD7D0C"/>
    <w:rsid w:val="00FE0546"/>
    <w:rsid w:val="00FE1436"/>
    <w:rsid w:val="00FE1E18"/>
    <w:rsid w:val="00FE2203"/>
    <w:rsid w:val="00FE27FE"/>
    <w:rsid w:val="00FE2978"/>
    <w:rsid w:val="00FE4B0B"/>
    <w:rsid w:val="00FE7EE4"/>
    <w:rsid w:val="00FF0673"/>
    <w:rsid w:val="00FF18FC"/>
    <w:rsid w:val="00FF28C6"/>
    <w:rsid w:val="00FF4353"/>
    <w:rsid w:val="00FF487F"/>
    <w:rsid w:val="00FF4D22"/>
    <w:rsid w:val="00FF72EC"/>
    <w:rsid w:val="00FF75A6"/>
    <w:rsid w:val="00FF7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78FEB"/>
  <w15:chartTrackingRefBased/>
  <w15:docId w15:val="{C1E32DBE-1DF2-4A2F-BC64-57BE4A5E6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40" w:line="360"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uiPriority="39"/>
    <w:lsdException w:name="toc 4" w:locked="0"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locked="0" w:semiHidden="1"/>
    <w:lsdException w:name="annotation text" w:semiHidden="1"/>
    <w:lsdException w:name="header" w:locked="0" w:semiHidden="1" w:unhideWhenUsed="1"/>
    <w:lsdException w:name="footer" w:locked="0"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locked="0" w:semiHidden="1"/>
    <w:lsdException w:name="annotation reference" w:semiHidden="1"/>
    <w:lsdException w:name="line number" w:semiHidden="1"/>
    <w:lsdException w:name="page number" w:semiHidden="1"/>
    <w:lsdException w:name="endnote reference" w:locked="0" w:semiHidden="1"/>
    <w:lsdException w:name="endnote text" w:locked="0" w:semiHidden="1"/>
    <w:lsdException w:name="table of authorities" w:semiHidden="1"/>
    <w:lsdException w:name="macro" w:semiHidden="1"/>
    <w:lsdException w:name="toa heading" w:locked="0"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lsdException w:name="FollowedHyperlink" w:locked="0"/>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07C"/>
    <w:rPr>
      <w:rFonts w:ascii="Arial" w:hAnsi="Arial"/>
      <w:sz w:val="24"/>
    </w:rPr>
  </w:style>
  <w:style w:type="paragraph" w:styleId="Heading1">
    <w:name w:val="heading 1"/>
    <w:basedOn w:val="Normal"/>
    <w:next w:val="Normal"/>
    <w:link w:val="Heading1Char"/>
    <w:uiPriority w:val="9"/>
    <w:qFormat/>
    <w:rsid w:val="00B1110B"/>
    <w:pPr>
      <w:keepNext/>
      <w:keepLines/>
      <w:spacing w:before="720"/>
      <w:outlineLvl w:val="0"/>
    </w:pPr>
    <w:rPr>
      <w:rFonts w:eastAsiaTheme="majorEastAsia" w:cstheme="majorBidi"/>
      <w:b/>
      <w:color w:val="43358B"/>
      <w:sz w:val="36"/>
      <w:szCs w:val="36"/>
    </w:rPr>
  </w:style>
  <w:style w:type="paragraph" w:styleId="Heading2">
    <w:name w:val="heading 2"/>
    <w:basedOn w:val="Normal"/>
    <w:next w:val="Normal"/>
    <w:link w:val="Heading2Char"/>
    <w:uiPriority w:val="9"/>
    <w:qFormat/>
    <w:rsid w:val="00B1110B"/>
    <w:pPr>
      <w:keepNext/>
      <w:keepLines/>
      <w:spacing w:before="480"/>
      <w:outlineLvl w:val="1"/>
    </w:pPr>
    <w:rPr>
      <w:rFonts w:eastAsiaTheme="majorEastAsia" w:cstheme="majorBidi"/>
      <w:b/>
      <w:color w:val="43358B"/>
      <w:sz w:val="32"/>
      <w:szCs w:val="32"/>
    </w:rPr>
  </w:style>
  <w:style w:type="paragraph" w:styleId="Heading3">
    <w:name w:val="heading 3"/>
    <w:basedOn w:val="Heading2"/>
    <w:next w:val="Normal"/>
    <w:link w:val="Heading3Char"/>
    <w:uiPriority w:val="9"/>
    <w:qFormat/>
    <w:rsid w:val="00B1110B"/>
    <w:pPr>
      <w:outlineLvl w:val="2"/>
    </w:pPr>
    <w:rPr>
      <w:rFonts w:cs="Arial"/>
      <w:bCs/>
      <w:color w:val="000000" w:themeColor="text1"/>
      <w:sz w:val="28"/>
      <w:szCs w:val="28"/>
    </w:rPr>
  </w:style>
  <w:style w:type="paragraph" w:styleId="Heading4">
    <w:name w:val="heading 4"/>
    <w:basedOn w:val="Heading3"/>
    <w:next w:val="Normal"/>
    <w:link w:val="Heading4Char"/>
    <w:uiPriority w:val="9"/>
    <w:qFormat/>
    <w:rsid w:val="00B1110B"/>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cationTitle">
    <w:name w:val="Publication Title"/>
    <w:basedOn w:val="Normal"/>
    <w:autoRedefine/>
    <w:qFormat/>
    <w:rsid w:val="00D57242"/>
    <w:pPr>
      <w:spacing w:before="120" w:line="312" w:lineRule="auto"/>
    </w:pPr>
    <w:rPr>
      <w:b/>
      <w:color w:val="00599E" w:themeColor="accent1" w:themeShade="BF"/>
      <w:spacing w:val="-20"/>
      <w:sz w:val="56"/>
    </w:rPr>
  </w:style>
  <w:style w:type="paragraph" w:customStyle="1" w:styleId="Publicationsubtitle">
    <w:name w:val="Publication subtitle"/>
    <w:basedOn w:val="PublicationTitle"/>
    <w:autoRedefine/>
    <w:qFormat/>
    <w:rsid w:val="00BB7932"/>
    <w:rPr>
      <w:spacing w:val="0"/>
      <w:sz w:val="36"/>
    </w:rPr>
  </w:style>
  <w:style w:type="paragraph" w:customStyle="1" w:styleId="Publicationdate">
    <w:name w:val="Publication date"/>
    <w:basedOn w:val="PublicationTitle"/>
    <w:autoRedefine/>
    <w:qFormat/>
    <w:rsid w:val="00DA3A21"/>
    <w:pPr>
      <w:spacing w:line="360" w:lineRule="exact"/>
    </w:pPr>
    <w:rPr>
      <w:b w:val="0"/>
      <w:color w:val="000000"/>
      <w:spacing w:val="0"/>
      <w:sz w:val="36"/>
      <w14:textFill>
        <w14:solidFill>
          <w14:srgbClr w14:val="000000">
            <w14:lumMod w14:val="75000"/>
          </w14:srgbClr>
        </w14:solidFill>
      </w14:textFill>
    </w:rPr>
  </w:style>
  <w:style w:type="character" w:styleId="PlaceholderText">
    <w:name w:val="Placeholder Text"/>
    <w:basedOn w:val="DefaultParagraphFont"/>
    <w:uiPriority w:val="99"/>
    <w:semiHidden/>
    <w:locked/>
    <w:rsid w:val="00677E3B"/>
    <w:rPr>
      <w:color w:val="808080"/>
    </w:rPr>
  </w:style>
  <w:style w:type="paragraph" w:styleId="Header">
    <w:name w:val="header"/>
    <w:basedOn w:val="Normal"/>
    <w:link w:val="HeaderChar"/>
    <w:uiPriority w:val="99"/>
    <w:rsid w:val="00E234F4"/>
    <w:pPr>
      <w:tabs>
        <w:tab w:val="right" w:pos="9752"/>
      </w:tabs>
      <w:spacing w:after="0"/>
    </w:pPr>
  </w:style>
  <w:style w:type="character" w:customStyle="1" w:styleId="HeaderChar">
    <w:name w:val="Header Char"/>
    <w:basedOn w:val="DefaultParagraphFont"/>
    <w:link w:val="Header"/>
    <w:uiPriority w:val="99"/>
    <w:rsid w:val="00E234F4"/>
    <w:rPr>
      <w:rFonts w:ascii="Arial" w:hAnsi="Arial"/>
      <w:sz w:val="24"/>
    </w:rPr>
  </w:style>
  <w:style w:type="paragraph" w:styleId="Footer">
    <w:name w:val="footer"/>
    <w:basedOn w:val="Normal"/>
    <w:link w:val="FooterChar"/>
    <w:uiPriority w:val="99"/>
    <w:rsid w:val="00045D32"/>
    <w:pPr>
      <w:tabs>
        <w:tab w:val="center" w:pos="4513"/>
        <w:tab w:val="right" w:pos="9026"/>
      </w:tabs>
      <w:spacing w:after="0"/>
    </w:pPr>
  </w:style>
  <w:style w:type="character" w:customStyle="1" w:styleId="FooterChar">
    <w:name w:val="Footer Char"/>
    <w:basedOn w:val="DefaultParagraphFont"/>
    <w:link w:val="Footer"/>
    <w:uiPriority w:val="99"/>
    <w:rsid w:val="007867C4"/>
    <w:rPr>
      <w:rFonts w:ascii="Arial" w:hAnsi="Arial"/>
      <w:sz w:val="24"/>
    </w:rPr>
  </w:style>
  <w:style w:type="paragraph" w:customStyle="1" w:styleId="TableHead">
    <w:name w:val="Table Head"/>
    <w:basedOn w:val="Normal"/>
    <w:link w:val="TableHeadChar"/>
    <w:qFormat/>
    <w:rsid w:val="00B1110B"/>
    <w:pPr>
      <w:spacing w:before="20" w:after="20" w:line="288" w:lineRule="auto"/>
    </w:pPr>
    <w:rPr>
      <w:b/>
      <w:color w:val="FFFFFF" w:themeColor="background1"/>
      <w:szCs w:val="24"/>
    </w:rPr>
  </w:style>
  <w:style w:type="paragraph" w:customStyle="1" w:styleId="TableBody">
    <w:name w:val="Table Body"/>
    <w:basedOn w:val="TableHead"/>
    <w:link w:val="TableBodyChar"/>
    <w:qFormat/>
    <w:rsid w:val="00B1110B"/>
    <w:rPr>
      <w:b w:val="0"/>
      <w:color w:val="262626" w:themeColor="text1" w:themeTint="D9"/>
    </w:rPr>
  </w:style>
  <w:style w:type="paragraph" w:customStyle="1" w:styleId="ContentsHeader">
    <w:name w:val="Contents Header"/>
    <w:basedOn w:val="Heading1"/>
    <w:link w:val="ContentsHeaderChar"/>
    <w:semiHidden/>
    <w:qFormat/>
    <w:locked/>
    <w:rsid w:val="00B1110B"/>
    <w:pPr>
      <w:spacing w:before="480" w:line="320" w:lineRule="exact"/>
    </w:pPr>
    <w:rPr>
      <w:szCs w:val="28"/>
    </w:rPr>
  </w:style>
  <w:style w:type="character" w:customStyle="1" w:styleId="ContentsHeaderChar">
    <w:name w:val="Contents Header Char"/>
    <w:basedOn w:val="Heading1Char"/>
    <w:link w:val="ContentsHeader"/>
    <w:semiHidden/>
    <w:rsid w:val="00B1110B"/>
    <w:rPr>
      <w:rFonts w:ascii="Arial" w:eastAsiaTheme="majorEastAsia" w:hAnsi="Arial" w:cstheme="majorBidi"/>
      <w:b/>
      <w:color w:val="43358B"/>
      <w:sz w:val="36"/>
      <w:szCs w:val="28"/>
    </w:rPr>
  </w:style>
  <w:style w:type="character" w:customStyle="1" w:styleId="TableHeadChar">
    <w:name w:val="Table Head Char"/>
    <w:basedOn w:val="DefaultParagraphFont"/>
    <w:link w:val="TableHead"/>
    <w:rsid w:val="00B1110B"/>
    <w:rPr>
      <w:rFonts w:ascii="Arial" w:hAnsi="Arial"/>
      <w:b/>
      <w:color w:val="FFFFFF" w:themeColor="background1"/>
      <w:sz w:val="24"/>
      <w:szCs w:val="24"/>
    </w:rPr>
  </w:style>
  <w:style w:type="character" w:customStyle="1" w:styleId="TableBodyChar">
    <w:name w:val="Table Body Char"/>
    <w:basedOn w:val="TableHeadChar"/>
    <w:link w:val="TableBody"/>
    <w:rsid w:val="00B1110B"/>
    <w:rPr>
      <w:rFonts w:ascii="Arial" w:hAnsi="Arial"/>
      <w:b w:val="0"/>
      <w:color w:val="262626" w:themeColor="text1" w:themeTint="D9"/>
      <w:sz w:val="24"/>
      <w:szCs w:val="24"/>
    </w:rPr>
  </w:style>
  <w:style w:type="character" w:customStyle="1" w:styleId="Heading1Char">
    <w:name w:val="Heading 1 Char"/>
    <w:basedOn w:val="DefaultParagraphFont"/>
    <w:link w:val="Heading1"/>
    <w:uiPriority w:val="9"/>
    <w:rsid w:val="00B1110B"/>
    <w:rPr>
      <w:rFonts w:ascii="Arial" w:eastAsiaTheme="majorEastAsia" w:hAnsi="Arial" w:cstheme="majorBidi"/>
      <w:b/>
      <w:color w:val="43358B"/>
      <w:sz w:val="36"/>
      <w:szCs w:val="36"/>
    </w:rPr>
  </w:style>
  <w:style w:type="character" w:customStyle="1" w:styleId="Heading2Char">
    <w:name w:val="Heading 2 Char"/>
    <w:basedOn w:val="DefaultParagraphFont"/>
    <w:link w:val="Heading2"/>
    <w:uiPriority w:val="9"/>
    <w:rsid w:val="00B1110B"/>
    <w:rPr>
      <w:rFonts w:ascii="Arial" w:eastAsiaTheme="majorEastAsia" w:hAnsi="Arial" w:cstheme="majorBidi"/>
      <w:b/>
      <w:color w:val="43358B"/>
      <w:sz w:val="32"/>
      <w:szCs w:val="32"/>
    </w:rPr>
  </w:style>
  <w:style w:type="character" w:customStyle="1" w:styleId="Heading3Char">
    <w:name w:val="Heading 3 Char"/>
    <w:basedOn w:val="DefaultParagraphFont"/>
    <w:link w:val="Heading3"/>
    <w:uiPriority w:val="9"/>
    <w:rsid w:val="00B1110B"/>
    <w:rPr>
      <w:rFonts w:ascii="Arial" w:eastAsiaTheme="majorEastAsia" w:hAnsi="Arial" w:cs="Arial"/>
      <w:b/>
      <w:bCs/>
      <w:color w:val="000000" w:themeColor="text1"/>
      <w:sz w:val="28"/>
      <w:szCs w:val="28"/>
    </w:rPr>
  </w:style>
  <w:style w:type="character" w:customStyle="1" w:styleId="Heading4Char">
    <w:name w:val="Heading 4 Char"/>
    <w:basedOn w:val="DefaultParagraphFont"/>
    <w:link w:val="Heading4"/>
    <w:uiPriority w:val="9"/>
    <w:rsid w:val="00B1110B"/>
    <w:rPr>
      <w:rFonts w:ascii="Arial" w:eastAsiaTheme="majorEastAsia" w:hAnsi="Arial" w:cs="Arial"/>
      <w:b/>
      <w:bCs/>
      <w:color w:val="000000" w:themeColor="text1"/>
      <w:sz w:val="24"/>
      <w:szCs w:val="24"/>
    </w:rPr>
  </w:style>
  <w:style w:type="table" w:styleId="TableGrid">
    <w:name w:val="Table Grid"/>
    <w:aliases w:val="PHS table"/>
    <w:basedOn w:val="TableNormal"/>
    <w:uiPriority w:val="39"/>
    <w:rsid w:val="009D3B2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68" w:type="dxa"/>
        <w:right w:w="68" w:type="dxa"/>
      </w:tblCellMar>
    </w:tblPr>
    <w:tblStylePr w:type="firstRow">
      <w:pPr>
        <w:jc w:val="left"/>
      </w:pPr>
      <w:rPr>
        <w:rFonts w:ascii="Arial" w:hAnsi="Arial"/>
        <w:b w:val="0"/>
        <w:i w:val="0"/>
        <w:color w:val="FFFFFF" w:themeColor="background1"/>
        <w:sz w:val="22"/>
        <w:u w:val="none"/>
      </w:rPr>
      <w:tblPr/>
      <w:trPr>
        <w:tblHeader/>
      </w:trPr>
      <w:tcPr>
        <w:shd w:val="clear" w:color="auto" w:fill="43358B"/>
      </w:tcPr>
    </w:tblStylePr>
    <w:tblStylePr w:type="lastRow">
      <w:rPr>
        <w:b/>
      </w:rPr>
    </w:tblStylePr>
  </w:style>
  <w:style w:type="paragraph" w:customStyle="1" w:styleId="Tableorchartcaption">
    <w:name w:val="Table or chart caption"/>
    <w:basedOn w:val="Normal"/>
    <w:qFormat/>
    <w:rsid w:val="00B1110B"/>
    <w:pPr>
      <w:spacing w:before="360" w:after="0"/>
    </w:pPr>
    <w:rPr>
      <w:rFonts w:eastAsia="Times New Roman" w:cs="Arial"/>
      <w:b/>
      <w:color w:val="43358B"/>
      <w:sz w:val="28"/>
      <w:szCs w:val="28"/>
      <w:lang w:eastAsia="en-GB"/>
    </w:rPr>
  </w:style>
  <w:style w:type="character" w:customStyle="1" w:styleId="Superscript">
    <w:name w:val="Superscript"/>
    <w:basedOn w:val="DefaultParagraphFont"/>
    <w:uiPriority w:val="1"/>
    <w:qFormat/>
    <w:rsid w:val="00B1110B"/>
    <w:rPr>
      <w:rFonts w:cs="Arial"/>
      <w:vertAlign w:val="superscript"/>
    </w:rPr>
  </w:style>
  <w:style w:type="paragraph" w:styleId="ListParagraph">
    <w:name w:val="List Paragraph"/>
    <w:basedOn w:val="Normal"/>
    <w:uiPriority w:val="34"/>
    <w:qFormat/>
    <w:locked/>
    <w:rsid w:val="00B1110B"/>
    <w:pPr>
      <w:ind w:left="720"/>
      <w:contextualSpacing/>
    </w:pPr>
  </w:style>
  <w:style w:type="paragraph" w:customStyle="1" w:styleId="Bullet1">
    <w:name w:val="Bullet 1"/>
    <w:basedOn w:val="ListParagraph"/>
    <w:qFormat/>
    <w:rsid w:val="002961B4"/>
    <w:pPr>
      <w:numPr>
        <w:numId w:val="20"/>
      </w:numPr>
      <w:contextualSpacing w:val="0"/>
    </w:pPr>
  </w:style>
  <w:style w:type="paragraph" w:customStyle="1" w:styleId="Bullet2">
    <w:name w:val="Bullet 2"/>
    <w:basedOn w:val="Bullet1"/>
    <w:qFormat/>
    <w:rsid w:val="003504BB"/>
    <w:pPr>
      <w:numPr>
        <w:numId w:val="4"/>
      </w:numPr>
      <w:ind w:left="1247" w:hanging="340"/>
    </w:pPr>
  </w:style>
  <w:style w:type="character" w:customStyle="1" w:styleId="Tablebodyde-emphasis">
    <w:name w:val="Table body de-emphasis"/>
    <w:basedOn w:val="DefaultParagraphFont"/>
    <w:uiPriority w:val="1"/>
    <w:semiHidden/>
    <w:qFormat/>
    <w:rsid w:val="00EB348A"/>
    <w:rPr>
      <w:color w:val="595959"/>
    </w:rPr>
  </w:style>
  <w:style w:type="character" w:customStyle="1" w:styleId="Bold">
    <w:name w:val="Bold"/>
    <w:basedOn w:val="DefaultParagraphFont"/>
    <w:uiPriority w:val="1"/>
    <w:qFormat/>
    <w:rsid w:val="00B1110B"/>
    <w:rPr>
      <w:rFonts w:cs="Arial"/>
      <w:b/>
      <w:color w:val="auto"/>
    </w:rPr>
  </w:style>
  <w:style w:type="paragraph" w:customStyle="1" w:styleId="Hyperlink1">
    <w:name w:val="Hyperlink1"/>
    <w:basedOn w:val="Normal"/>
    <w:next w:val="Normal"/>
    <w:link w:val="hyperlinkChar"/>
    <w:autoRedefine/>
    <w:semiHidden/>
    <w:qFormat/>
    <w:locked/>
    <w:rsid w:val="00B1110B"/>
    <w:pPr>
      <w:spacing w:after="120" w:line="320" w:lineRule="exact"/>
    </w:pPr>
    <w:rPr>
      <w:color w:val="964091"/>
      <w:u w:val="single"/>
    </w:rPr>
  </w:style>
  <w:style w:type="character" w:customStyle="1" w:styleId="hyperlinkChar">
    <w:name w:val="hyperlink Char"/>
    <w:basedOn w:val="DefaultParagraphFont"/>
    <w:link w:val="Hyperlink1"/>
    <w:semiHidden/>
    <w:rsid w:val="00B1110B"/>
    <w:rPr>
      <w:rFonts w:ascii="Arial" w:hAnsi="Arial"/>
      <w:color w:val="964091"/>
      <w:sz w:val="24"/>
      <w:u w:val="single"/>
    </w:rPr>
  </w:style>
  <w:style w:type="paragraph" w:customStyle="1" w:styleId="Coverdisclaimer">
    <w:name w:val="Cover disclaimer"/>
    <w:basedOn w:val="Normal"/>
    <w:qFormat/>
    <w:rsid w:val="004C6DF6"/>
    <w:pPr>
      <w:spacing w:after="0"/>
    </w:pPr>
    <w:rPr>
      <w:rFonts w:cs="Arial"/>
      <w:bCs/>
    </w:rPr>
  </w:style>
  <w:style w:type="paragraph" w:styleId="TOCHeading">
    <w:name w:val="TOC Heading"/>
    <w:basedOn w:val="Heading1"/>
    <w:next w:val="Normal"/>
    <w:uiPriority w:val="39"/>
    <w:qFormat/>
    <w:rsid w:val="00FB6451"/>
    <w:pPr>
      <w:spacing w:before="0" w:after="120"/>
      <w:outlineLvl w:val="9"/>
    </w:pPr>
    <w:rPr>
      <w:sz w:val="32"/>
      <w:szCs w:val="32"/>
      <w:lang w:val="en-US"/>
    </w:rPr>
  </w:style>
  <w:style w:type="character" w:styleId="Hyperlink">
    <w:name w:val="Hyperlink"/>
    <w:basedOn w:val="DefaultParagraphFont"/>
    <w:uiPriority w:val="99"/>
    <w:rsid w:val="003A082D"/>
    <w:rPr>
      <w:b/>
      <w:bCs/>
      <w:color w:val="43358B"/>
    </w:rPr>
  </w:style>
  <w:style w:type="character" w:customStyle="1" w:styleId="UnresolvedMention1">
    <w:name w:val="Unresolved Mention1"/>
    <w:basedOn w:val="DefaultParagraphFont"/>
    <w:uiPriority w:val="99"/>
    <w:semiHidden/>
    <w:locked/>
    <w:rsid w:val="007F23D8"/>
    <w:rPr>
      <w:color w:val="605E5C"/>
      <w:shd w:val="clear" w:color="auto" w:fill="E1DFDD"/>
    </w:rPr>
  </w:style>
  <w:style w:type="paragraph" w:styleId="TOC1">
    <w:name w:val="toc 1"/>
    <w:basedOn w:val="Normal"/>
    <w:next w:val="TOC2"/>
    <w:autoRedefine/>
    <w:uiPriority w:val="39"/>
    <w:rsid w:val="003F30CE"/>
    <w:pPr>
      <w:tabs>
        <w:tab w:val="right" w:pos="8902"/>
      </w:tabs>
      <w:spacing w:after="160" w:line="288" w:lineRule="auto"/>
      <w:ind w:right="1134"/>
    </w:pPr>
    <w:rPr>
      <w:noProof/>
    </w:rPr>
  </w:style>
  <w:style w:type="paragraph" w:styleId="TOC2">
    <w:name w:val="toc 2"/>
    <w:basedOn w:val="TOC1"/>
    <w:next w:val="TOC3"/>
    <w:autoRedefine/>
    <w:uiPriority w:val="39"/>
    <w:rsid w:val="00D97634"/>
    <w:pPr>
      <w:ind w:left="240"/>
    </w:pPr>
  </w:style>
  <w:style w:type="paragraph" w:styleId="TOC3">
    <w:name w:val="toc 3"/>
    <w:basedOn w:val="TOC2"/>
    <w:next w:val="TOC4"/>
    <w:autoRedefine/>
    <w:uiPriority w:val="39"/>
    <w:rsid w:val="000D322E"/>
    <w:pPr>
      <w:ind w:left="480"/>
    </w:pPr>
  </w:style>
  <w:style w:type="paragraph" w:styleId="TOC4">
    <w:name w:val="toc 4"/>
    <w:basedOn w:val="TOC3"/>
    <w:autoRedefine/>
    <w:uiPriority w:val="39"/>
    <w:rsid w:val="000D322E"/>
    <w:pPr>
      <w:ind w:left="720"/>
    </w:pPr>
  </w:style>
  <w:style w:type="paragraph" w:customStyle="1" w:styleId="Heading1numbered">
    <w:name w:val="Heading 1 numbered"/>
    <w:basedOn w:val="Heading1"/>
    <w:next w:val="Normal"/>
    <w:link w:val="Heading1numberedChar"/>
    <w:qFormat/>
    <w:rsid w:val="008E5F4B"/>
    <w:pPr>
      <w:numPr>
        <w:numId w:val="8"/>
      </w:numPr>
    </w:pPr>
  </w:style>
  <w:style w:type="paragraph" w:customStyle="1" w:styleId="Heading2numbered">
    <w:name w:val="Heading 2 numbered"/>
    <w:basedOn w:val="Heading2"/>
    <w:next w:val="Normal"/>
    <w:link w:val="Heading2numberedChar"/>
    <w:qFormat/>
    <w:rsid w:val="008E5F4B"/>
    <w:pPr>
      <w:numPr>
        <w:ilvl w:val="1"/>
        <w:numId w:val="8"/>
      </w:numPr>
      <w:ind w:left="0"/>
    </w:pPr>
  </w:style>
  <w:style w:type="paragraph" w:customStyle="1" w:styleId="Normalindented">
    <w:name w:val="Normal indented"/>
    <w:basedOn w:val="Normal"/>
    <w:qFormat/>
    <w:rsid w:val="00B1110B"/>
    <w:pPr>
      <w:ind w:left="851"/>
    </w:pPr>
  </w:style>
  <w:style w:type="paragraph" w:customStyle="1" w:styleId="Heading3numbered">
    <w:name w:val="Heading 3 numbered"/>
    <w:basedOn w:val="Heading3"/>
    <w:next w:val="Normal"/>
    <w:link w:val="Heading3numberedChar"/>
    <w:qFormat/>
    <w:rsid w:val="008E5F4B"/>
    <w:pPr>
      <w:numPr>
        <w:ilvl w:val="2"/>
        <w:numId w:val="8"/>
      </w:numPr>
    </w:pPr>
  </w:style>
  <w:style w:type="paragraph" w:customStyle="1" w:styleId="Heading4numbered">
    <w:name w:val="Heading 4 numbered"/>
    <w:basedOn w:val="Heading4"/>
    <w:next w:val="Normal"/>
    <w:link w:val="Heading4numberedChar"/>
    <w:qFormat/>
    <w:rsid w:val="008E5F4B"/>
    <w:pPr>
      <w:numPr>
        <w:ilvl w:val="3"/>
        <w:numId w:val="8"/>
      </w:numPr>
    </w:pPr>
    <w:rPr>
      <w:bCs w:val="0"/>
    </w:rPr>
  </w:style>
  <w:style w:type="paragraph" w:styleId="FootnoteText">
    <w:name w:val="footnote text"/>
    <w:basedOn w:val="Normal"/>
    <w:link w:val="FootnoteTextChar"/>
    <w:uiPriority w:val="99"/>
    <w:rsid w:val="00F85704"/>
    <w:pPr>
      <w:tabs>
        <w:tab w:val="left" w:pos="284"/>
      </w:tabs>
      <w:spacing w:after="120"/>
      <w:ind w:left="340" w:hanging="340"/>
    </w:pPr>
    <w:rPr>
      <w:szCs w:val="24"/>
    </w:rPr>
  </w:style>
  <w:style w:type="character" w:customStyle="1" w:styleId="FootnoteTextChar">
    <w:name w:val="Footnote Text Char"/>
    <w:basedOn w:val="DefaultParagraphFont"/>
    <w:link w:val="FootnoteText"/>
    <w:uiPriority w:val="99"/>
    <w:rsid w:val="00F85704"/>
    <w:rPr>
      <w:rFonts w:ascii="Arial" w:hAnsi="Arial"/>
      <w:sz w:val="24"/>
      <w:szCs w:val="24"/>
    </w:rPr>
  </w:style>
  <w:style w:type="character" w:styleId="FootnoteReference">
    <w:name w:val="footnote reference"/>
    <w:basedOn w:val="DefaultParagraphFont"/>
    <w:uiPriority w:val="99"/>
    <w:rsid w:val="00526937"/>
    <w:rPr>
      <w:vertAlign w:val="superscript"/>
    </w:rPr>
  </w:style>
  <w:style w:type="paragraph" w:customStyle="1" w:styleId="Bullet3">
    <w:name w:val="Bullet 3"/>
    <w:basedOn w:val="Bullet2"/>
    <w:qFormat/>
    <w:rsid w:val="003504BB"/>
    <w:pPr>
      <w:numPr>
        <w:numId w:val="5"/>
      </w:numPr>
      <w:ind w:left="1814" w:hanging="340"/>
    </w:pPr>
  </w:style>
  <w:style w:type="paragraph" w:customStyle="1" w:styleId="Bulletnumbered1123">
    <w:name w:val="Bullet numbered 1 (123)"/>
    <w:basedOn w:val="Normal"/>
    <w:qFormat/>
    <w:rsid w:val="008E5F4B"/>
    <w:pPr>
      <w:numPr>
        <w:numId w:val="7"/>
      </w:numPr>
    </w:pPr>
  </w:style>
  <w:style w:type="paragraph" w:customStyle="1" w:styleId="Bulletnumbered2abc">
    <w:name w:val="Bullet numbered 2 (abc)"/>
    <w:basedOn w:val="Bulletnumbered1123"/>
    <w:qFormat/>
    <w:rsid w:val="008E5F4B"/>
    <w:pPr>
      <w:numPr>
        <w:ilvl w:val="1"/>
      </w:numPr>
    </w:pPr>
  </w:style>
  <w:style w:type="character" w:styleId="FollowedHyperlink">
    <w:name w:val="FollowedHyperlink"/>
    <w:basedOn w:val="Hyperlink"/>
    <w:uiPriority w:val="99"/>
    <w:rsid w:val="003A082D"/>
    <w:rPr>
      <w:b/>
      <w:bCs/>
      <w:color w:val="43358B"/>
    </w:rPr>
  </w:style>
  <w:style w:type="character" w:customStyle="1" w:styleId="Heading1numberedChar">
    <w:name w:val="Heading 1 numbered Char"/>
    <w:basedOn w:val="Heading1Char"/>
    <w:link w:val="Heading1numbered"/>
    <w:rsid w:val="008E5F4B"/>
    <w:rPr>
      <w:rFonts w:ascii="Arial" w:eastAsiaTheme="majorEastAsia" w:hAnsi="Arial" w:cstheme="majorBidi"/>
      <w:b/>
      <w:color w:val="43358B"/>
      <w:sz w:val="36"/>
      <w:szCs w:val="36"/>
    </w:rPr>
  </w:style>
  <w:style w:type="character" w:customStyle="1" w:styleId="Heading2numberedChar">
    <w:name w:val="Heading 2 numbered Char"/>
    <w:basedOn w:val="Heading2Char"/>
    <w:link w:val="Heading2numbered"/>
    <w:rsid w:val="008E5F4B"/>
    <w:rPr>
      <w:rFonts w:ascii="Arial" w:eastAsiaTheme="majorEastAsia" w:hAnsi="Arial" w:cstheme="majorBidi"/>
      <w:b/>
      <w:color w:val="43358B"/>
      <w:sz w:val="32"/>
      <w:szCs w:val="32"/>
    </w:rPr>
  </w:style>
  <w:style w:type="character" w:customStyle="1" w:styleId="Heading3numberedChar">
    <w:name w:val="Heading 3 numbered Char"/>
    <w:basedOn w:val="Heading3Char"/>
    <w:link w:val="Heading3numbered"/>
    <w:rsid w:val="008E5F4B"/>
    <w:rPr>
      <w:rFonts w:ascii="Arial" w:eastAsiaTheme="majorEastAsia" w:hAnsi="Arial" w:cs="Arial"/>
      <w:b/>
      <w:bCs/>
      <w:color w:val="000000" w:themeColor="text1"/>
      <w:sz w:val="28"/>
      <w:szCs w:val="28"/>
    </w:rPr>
  </w:style>
  <w:style w:type="character" w:customStyle="1" w:styleId="Heading4numberedChar">
    <w:name w:val="Heading 4 numbered Char"/>
    <w:basedOn w:val="Heading4Char"/>
    <w:link w:val="Heading4numbered"/>
    <w:rsid w:val="008E5F4B"/>
    <w:rPr>
      <w:rFonts w:ascii="Arial" w:eastAsiaTheme="majorEastAsia" w:hAnsi="Arial" w:cs="Arial"/>
      <w:b/>
      <w:bCs w:val="0"/>
      <w:color w:val="000000" w:themeColor="text1"/>
      <w:sz w:val="24"/>
      <w:szCs w:val="24"/>
    </w:rPr>
  </w:style>
  <w:style w:type="paragraph" w:customStyle="1" w:styleId="Tablebullet1">
    <w:name w:val="Table bullet 1"/>
    <w:basedOn w:val="TableBody"/>
    <w:qFormat/>
    <w:rsid w:val="00B1110B"/>
    <w:pPr>
      <w:numPr>
        <w:numId w:val="6"/>
      </w:numPr>
    </w:pPr>
  </w:style>
  <w:style w:type="paragraph" w:customStyle="1" w:styleId="Tablebullet2">
    <w:name w:val="Table bullet 2"/>
    <w:basedOn w:val="Tablebullet1"/>
    <w:qFormat/>
    <w:rsid w:val="004C6DF6"/>
    <w:pPr>
      <w:numPr>
        <w:ilvl w:val="1"/>
      </w:numPr>
      <w:ind w:left="947" w:hanging="357"/>
    </w:pPr>
  </w:style>
  <w:style w:type="paragraph" w:customStyle="1" w:styleId="Tablebodyrightalignedfornumbersonly">
    <w:name w:val="Table body right aligned (for numbers only)"/>
    <w:basedOn w:val="TableBody"/>
    <w:qFormat/>
    <w:rsid w:val="00B1110B"/>
    <w:pPr>
      <w:jc w:val="right"/>
    </w:pPr>
  </w:style>
  <w:style w:type="paragraph" w:customStyle="1" w:styleId="Pagenumbers">
    <w:name w:val="Page numbers"/>
    <w:basedOn w:val="Footer"/>
    <w:qFormat/>
    <w:rsid w:val="00D1457B"/>
    <w:pPr>
      <w:pBdr>
        <w:top w:val="single" w:sz="6" w:space="3" w:color="3F3685" w:themeColor="text2"/>
      </w:pBdr>
      <w:jc w:val="right"/>
    </w:pPr>
    <w:rPr>
      <w:noProof/>
    </w:rPr>
  </w:style>
  <w:style w:type="paragraph" w:customStyle="1" w:styleId="Coverfooter">
    <w:name w:val="Cover footer"/>
    <w:basedOn w:val="Normal"/>
    <w:qFormat/>
    <w:rsid w:val="001A7DA0"/>
    <w:pPr>
      <w:tabs>
        <w:tab w:val="right" w:pos="8959"/>
      </w:tabs>
      <w:spacing w:before="120" w:after="0" w:line="312" w:lineRule="auto"/>
      <w:ind w:right="964"/>
    </w:pPr>
    <w:rPr>
      <w:rFonts w:cs="Arial"/>
      <w:b/>
      <w:color w:val="3F3685" w:themeColor="text2"/>
      <w:position w:val="-28"/>
      <w:sz w:val="28"/>
    </w:rPr>
  </w:style>
  <w:style w:type="character" w:customStyle="1" w:styleId="Italicspeciesnamesonly">
    <w:name w:val="*Italic (species names only)"/>
    <w:basedOn w:val="DefaultParagraphFont"/>
    <w:uiPriority w:val="1"/>
    <w:qFormat/>
    <w:rsid w:val="00B1110B"/>
    <w:rPr>
      <w:i/>
    </w:rPr>
  </w:style>
  <w:style w:type="character" w:customStyle="1" w:styleId="Bolditalicspeciesnamesonly">
    <w:name w:val="*Bold italic (species names only)"/>
    <w:basedOn w:val="Italicspeciesnamesonly"/>
    <w:uiPriority w:val="1"/>
    <w:qFormat/>
    <w:rsid w:val="00B1110B"/>
    <w:rPr>
      <w:b/>
      <w:i/>
    </w:rPr>
  </w:style>
  <w:style w:type="character" w:customStyle="1" w:styleId="Subscript">
    <w:name w:val="Subscript"/>
    <w:basedOn w:val="Superscript"/>
    <w:uiPriority w:val="1"/>
    <w:qFormat/>
    <w:rsid w:val="00B1110B"/>
    <w:rPr>
      <w:rFonts w:asciiTheme="minorHAnsi" w:hAnsiTheme="minorHAnsi" w:cs="Arial"/>
      <w:vertAlign w:val="subscript"/>
    </w:rPr>
  </w:style>
  <w:style w:type="paragraph" w:styleId="BalloonText">
    <w:name w:val="Balloon Text"/>
    <w:basedOn w:val="Normal"/>
    <w:link w:val="BalloonTextChar"/>
    <w:uiPriority w:val="99"/>
    <w:semiHidden/>
    <w:locked/>
    <w:rsid w:val="005319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95B"/>
    <w:rPr>
      <w:rFonts w:ascii="Segoe UI" w:hAnsi="Segoe UI" w:cs="Segoe UI"/>
      <w:sz w:val="18"/>
      <w:szCs w:val="18"/>
    </w:rPr>
  </w:style>
  <w:style w:type="paragraph" w:customStyle="1" w:styleId="Headingtextbox">
    <w:name w:val="Heading textbox"/>
    <w:basedOn w:val="Heading1"/>
    <w:qFormat/>
    <w:rsid w:val="00B1110B"/>
    <w:pPr>
      <w:spacing w:before="0" w:after="120"/>
    </w:pPr>
    <w:rPr>
      <w:sz w:val="32"/>
    </w:rPr>
  </w:style>
  <w:style w:type="paragraph" w:styleId="Quote">
    <w:name w:val="Quote"/>
    <w:basedOn w:val="Normal"/>
    <w:next w:val="Normal"/>
    <w:link w:val="QuoteChar"/>
    <w:uiPriority w:val="29"/>
    <w:qFormat/>
    <w:rsid w:val="00B50803"/>
    <w:pPr>
      <w:pBdr>
        <w:top w:val="single" w:sz="8" w:space="10" w:color="3F3685" w:themeColor="text2"/>
        <w:bottom w:val="single" w:sz="8" w:space="6" w:color="3F3685" w:themeColor="text2"/>
      </w:pBdr>
      <w:spacing w:before="240" w:after="300"/>
      <w:ind w:left="567" w:right="567"/>
    </w:pPr>
    <w:rPr>
      <w:iCs/>
      <w:color w:val="000000" w:themeColor="text1"/>
    </w:rPr>
  </w:style>
  <w:style w:type="character" w:customStyle="1" w:styleId="QuoteChar">
    <w:name w:val="Quote Char"/>
    <w:basedOn w:val="DefaultParagraphFont"/>
    <w:link w:val="Quote"/>
    <w:uiPriority w:val="29"/>
    <w:rsid w:val="00B50803"/>
    <w:rPr>
      <w:rFonts w:ascii="Arial" w:hAnsi="Arial"/>
      <w:iCs/>
      <w:color w:val="000000" w:themeColor="text1"/>
      <w:sz w:val="24"/>
    </w:rPr>
  </w:style>
  <w:style w:type="character" w:customStyle="1" w:styleId="yellowhighlight">
    <w:name w:val="*yellow highlight"/>
    <w:basedOn w:val="DefaultParagraphFont"/>
    <w:uiPriority w:val="1"/>
    <w:semiHidden/>
    <w:qFormat/>
    <w:rsid w:val="00B1110B"/>
    <w:rPr>
      <w:bdr w:val="none" w:sz="0" w:space="0" w:color="auto"/>
      <w:shd w:val="clear" w:color="auto" w:fill="FFFF00"/>
    </w:rPr>
  </w:style>
  <w:style w:type="character" w:customStyle="1" w:styleId="Restrictedstatisticstextforpublicationreleases">
    <w:name w:val="*Restricted statistics text (for publication releases)"/>
    <w:basedOn w:val="DefaultParagraphFont"/>
    <w:uiPriority w:val="1"/>
    <w:semiHidden/>
    <w:qFormat/>
    <w:rsid w:val="00B1110B"/>
    <w:rPr>
      <w:b/>
      <w:color w:val="B50000"/>
      <w:sz w:val="28"/>
    </w:rPr>
  </w:style>
  <w:style w:type="character" w:customStyle="1" w:styleId="yellowbold">
    <w:name w:val="*yellow bold"/>
    <w:basedOn w:val="DefaultParagraphFont"/>
    <w:uiPriority w:val="1"/>
    <w:semiHidden/>
    <w:qFormat/>
    <w:rsid w:val="00B1110B"/>
    <w:rPr>
      <w:b/>
      <w:bdr w:val="none" w:sz="0" w:space="0" w:color="auto"/>
      <w:shd w:val="clear" w:color="auto" w:fill="FFFF00"/>
    </w:rPr>
  </w:style>
  <w:style w:type="character" w:customStyle="1" w:styleId="yellowhyperlink">
    <w:name w:val="*yellow hyperlink"/>
    <w:basedOn w:val="DefaultParagraphFont"/>
    <w:uiPriority w:val="1"/>
    <w:semiHidden/>
    <w:qFormat/>
    <w:rsid w:val="00672595"/>
    <w:rPr>
      <w:b/>
      <w:color w:val="3F3685" w:themeColor="text2"/>
      <w:u w:val="none"/>
      <w:bdr w:val="none" w:sz="0" w:space="0" w:color="auto"/>
      <w:shd w:val="clear" w:color="auto" w:fill="FFFF00"/>
    </w:rPr>
  </w:style>
  <w:style w:type="character" w:customStyle="1" w:styleId="greyhighlight">
    <w:name w:val="*grey highlight"/>
    <w:basedOn w:val="DefaultParagraphFont"/>
    <w:uiPriority w:val="1"/>
    <w:semiHidden/>
    <w:qFormat/>
    <w:rsid w:val="00B1110B"/>
    <w:rPr>
      <w:bdr w:val="none" w:sz="0" w:space="0" w:color="auto"/>
      <w:shd w:val="clear" w:color="auto" w:fill="D9D9D9" w:themeFill="background1" w:themeFillShade="D9"/>
    </w:rPr>
  </w:style>
  <w:style w:type="character" w:customStyle="1" w:styleId="greyhyperlink">
    <w:name w:val="*grey hyperlink"/>
    <w:basedOn w:val="DefaultParagraphFont"/>
    <w:uiPriority w:val="1"/>
    <w:semiHidden/>
    <w:qFormat/>
    <w:rsid w:val="00672595"/>
    <w:rPr>
      <w:b/>
      <w:color w:val="3F3685" w:themeColor="text2"/>
      <w:u w:val="none"/>
      <w:bdr w:val="none" w:sz="0" w:space="0" w:color="auto"/>
      <w:shd w:val="clear" w:color="auto" w:fill="D9D9D9" w:themeFill="background1" w:themeFillShade="D9"/>
    </w:rPr>
  </w:style>
  <w:style w:type="character" w:customStyle="1" w:styleId="greybold">
    <w:name w:val="*grey bold"/>
    <w:basedOn w:val="DefaultParagraphFont"/>
    <w:uiPriority w:val="1"/>
    <w:semiHidden/>
    <w:qFormat/>
    <w:rsid w:val="00B1110B"/>
    <w:rPr>
      <w:b/>
      <w:bdr w:val="none" w:sz="0" w:space="0" w:color="auto"/>
      <w:shd w:val="clear" w:color="auto" w:fill="D9D9D9" w:themeFill="background1" w:themeFillShade="D9"/>
    </w:rPr>
  </w:style>
  <w:style w:type="character" w:styleId="CommentReference">
    <w:name w:val="annotation reference"/>
    <w:basedOn w:val="DefaultParagraphFont"/>
    <w:uiPriority w:val="99"/>
    <w:semiHidden/>
    <w:locked/>
    <w:rsid w:val="005D016F"/>
    <w:rPr>
      <w:sz w:val="16"/>
      <w:szCs w:val="16"/>
    </w:rPr>
  </w:style>
  <w:style w:type="paragraph" w:styleId="CommentText">
    <w:name w:val="annotation text"/>
    <w:basedOn w:val="Normal"/>
    <w:link w:val="CommentTextChar"/>
    <w:uiPriority w:val="99"/>
    <w:locked/>
    <w:rsid w:val="005D016F"/>
    <w:pPr>
      <w:spacing w:line="240" w:lineRule="auto"/>
    </w:pPr>
    <w:rPr>
      <w:sz w:val="20"/>
      <w:szCs w:val="20"/>
    </w:rPr>
  </w:style>
  <w:style w:type="character" w:customStyle="1" w:styleId="CommentTextChar">
    <w:name w:val="Comment Text Char"/>
    <w:basedOn w:val="DefaultParagraphFont"/>
    <w:link w:val="CommentText"/>
    <w:uiPriority w:val="99"/>
    <w:rsid w:val="005D016F"/>
    <w:rPr>
      <w:rFonts w:ascii="Arial" w:hAnsi="Arial"/>
      <w:sz w:val="20"/>
      <w:szCs w:val="20"/>
    </w:rPr>
  </w:style>
  <w:style w:type="paragraph" w:styleId="CommentSubject">
    <w:name w:val="annotation subject"/>
    <w:basedOn w:val="CommentText"/>
    <w:next w:val="CommentText"/>
    <w:link w:val="CommentSubjectChar"/>
    <w:uiPriority w:val="99"/>
    <w:semiHidden/>
    <w:locked/>
    <w:rsid w:val="005D016F"/>
    <w:rPr>
      <w:b/>
      <w:bCs/>
    </w:rPr>
  </w:style>
  <w:style w:type="character" w:customStyle="1" w:styleId="CommentSubjectChar">
    <w:name w:val="Comment Subject Char"/>
    <w:basedOn w:val="CommentTextChar"/>
    <w:link w:val="CommentSubject"/>
    <w:uiPriority w:val="99"/>
    <w:semiHidden/>
    <w:rsid w:val="005D016F"/>
    <w:rPr>
      <w:rFonts w:ascii="Arial" w:hAnsi="Arial"/>
      <w:b/>
      <w:bCs/>
      <w:sz w:val="20"/>
      <w:szCs w:val="20"/>
    </w:rPr>
  </w:style>
  <w:style w:type="paragraph" w:customStyle="1" w:styleId="Tablebulletnumbered1123">
    <w:name w:val="Table bullet numbered 1 (123)"/>
    <w:basedOn w:val="TableBody"/>
    <w:qFormat/>
    <w:rsid w:val="008E5F4B"/>
    <w:pPr>
      <w:numPr>
        <w:numId w:val="9"/>
      </w:numPr>
      <w:tabs>
        <w:tab w:val="left" w:pos="720"/>
      </w:tabs>
    </w:pPr>
  </w:style>
  <w:style w:type="paragraph" w:customStyle="1" w:styleId="Tablebulletnumbered2abc">
    <w:name w:val="Table bullet numbered 2 (abc)"/>
    <w:basedOn w:val="Tablebulletnumbered1123"/>
    <w:qFormat/>
    <w:rsid w:val="008E5F4B"/>
    <w:pPr>
      <w:numPr>
        <w:ilvl w:val="1"/>
      </w:numPr>
      <w:tabs>
        <w:tab w:val="left" w:pos="1134"/>
      </w:tabs>
    </w:pPr>
  </w:style>
  <w:style w:type="character" w:customStyle="1" w:styleId="UnresolvedMention2">
    <w:name w:val="Unresolved Mention2"/>
    <w:basedOn w:val="DefaultParagraphFont"/>
    <w:uiPriority w:val="99"/>
    <w:semiHidden/>
    <w:locked/>
    <w:rsid w:val="008B3462"/>
    <w:rPr>
      <w:color w:val="605E5C"/>
      <w:shd w:val="clear" w:color="auto" w:fill="E1DFDD"/>
    </w:rPr>
  </w:style>
  <w:style w:type="paragraph" w:customStyle="1" w:styleId="Bulletnumbered3iii">
    <w:name w:val="Bullet numbered 3 (iii)"/>
    <w:basedOn w:val="Bulletnumbered2abc"/>
    <w:qFormat/>
    <w:rsid w:val="008E5F4B"/>
    <w:pPr>
      <w:numPr>
        <w:ilvl w:val="2"/>
      </w:numPr>
    </w:pPr>
  </w:style>
  <w:style w:type="paragraph" w:styleId="EndnoteText">
    <w:name w:val="endnote text"/>
    <w:basedOn w:val="Normal"/>
    <w:link w:val="EndnoteTextChar"/>
    <w:uiPriority w:val="99"/>
    <w:rsid w:val="00483CAD"/>
    <w:pPr>
      <w:tabs>
        <w:tab w:val="left" w:pos="426"/>
      </w:tabs>
      <w:spacing w:after="120"/>
      <w:ind w:left="284" w:hanging="284"/>
    </w:pPr>
    <w:rPr>
      <w:szCs w:val="24"/>
    </w:rPr>
  </w:style>
  <w:style w:type="character" w:customStyle="1" w:styleId="EndnoteTextChar">
    <w:name w:val="Endnote Text Char"/>
    <w:basedOn w:val="DefaultParagraphFont"/>
    <w:link w:val="EndnoteText"/>
    <w:uiPriority w:val="99"/>
    <w:rsid w:val="00483CAD"/>
    <w:rPr>
      <w:rFonts w:ascii="Arial" w:hAnsi="Arial"/>
      <w:sz w:val="24"/>
      <w:szCs w:val="24"/>
    </w:rPr>
  </w:style>
  <w:style w:type="character" w:styleId="EndnoteReference">
    <w:name w:val="endnote reference"/>
    <w:basedOn w:val="DefaultParagraphFont"/>
    <w:uiPriority w:val="99"/>
    <w:rsid w:val="007C6BAA"/>
    <w:rPr>
      <w:vertAlign w:val="superscript"/>
    </w:rPr>
  </w:style>
  <w:style w:type="character" w:customStyle="1" w:styleId="Crossreference">
    <w:name w:val="Cross reference"/>
    <w:basedOn w:val="Hyperlink"/>
    <w:uiPriority w:val="1"/>
    <w:qFormat/>
    <w:rsid w:val="007C48DB"/>
    <w:rPr>
      <w:b/>
      <w:bCs/>
      <w:color w:val="43358B"/>
    </w:rPr>
  </w:style>
  <w:style w:type="paragraph" w:customStyle="1" w:styleId="Default">
    <w:name w:val="Default"/>
    <w:locked/>
    <w:rsid w:val="00AE3D5E"/>
    <w:pPr>
      <w:autoSpaceDE w:val="0"/>
      <w:autoSpaceDN w:val="0"/>
      <w:adjustRightInd w:val="0"/>
      <w:spacing w:after="0" w:line="240" w:lineRule="auto"/>
    </w:pPr>
    <w:rPr>
      <w:rFonts w:ascii="Arial" w:hAnsi="Arial" w:cs="Arial"/>
      <w:color w:val="000000"/>
      <w:sz w:val="24"/>
      <w:szCs w:val="24"/>
    </w:rPr>
  </w:style>
  <w:style w:type="character" w:customStyle="1" w:styleId="UnresolvedMention3">
    <w:name w:val="Unresolved Mention3"/>
    <w:basedOn w:val="DefaultParagraphFont"/>
    <w:uiPriority w:val="99"/>
    <w:semiHidden/>
    <w:locked/>
    <w:rsid w:val="009C69C3"/>
    <w:rPr>
      <w:color w:val="605E5C"/>
      <w:shd w:val="clear" w:color="auto" w:fill="E1DFDD"/>
    </w:rPr>
  </w:style>
  <w:style w:type="table" w:styleId="PlainTable5">
    <w:name w:val="Plain Table 5"/>
    <w:basedOn w:val="TableNormal"/>
    <w:uiPriority w:val="45"/>
    <w:locked/>
    <w:rsid w:val="0068574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mageplacement">
    <w:name w:val="*Image placement"/>
    <w:basedOn w:val="Normal"/>
    <w:qFormat/>
    <w:rsid w:val="00CF4140"/>
    <w:pPr>
      <w:spacing w:after="360"/>
      <w:jc w:val="center"/>
    </w:pPr>
    <w:rPr>
      <w:noProof/>
      <w:lang w:eastAsia="en-GB"/>
    </w:rPr>
  </w:style>
  <w:style w:type="paragraph" w:customStyle="1" w:styleId="Textboxnormalleftaligned">
    <w:name w:val="Textbox normal (left aligned)"/>
    <w:basedOn w:val="Normal"/>
    <w:qFormat/>
    <w:rsid w:val="00CF1522"/>
    <w:pPr>
      <w:spacing w:after="120"/>
    </w:pPr>
  </w:style>
  <w:style w:type="paragraph" w:customStyle="1" w:styleId="Texboxnormalcentrealigned">
    <w:name w:val="Texbox normal (centre aligned)"/>
    <w:basedOn w:val="Textboxnormalleftaligned"/>
    <w:semiHidden/>
    <w:qFormat/>
    <w:rsid w:val="00A76AB4"/>
    <w:pPr>
      <w:jc w:val="center"/>
    </w:pPr>
  </w:style>
  <w:style w:type="character" w:customStyle="1" w:styleId="hidePElogoEditoraluseonly">
    <w:name w:val="*hide PE logo (Editoral use only)"/>
    <w:basedOn w:val="DefaultParagraphFont"/>
    <w:uiPriority w:val="1"/>
    <w:qFormat/>
    <w:rsid w:val="00763FCD"/>
    <w:rPr>
      <w:vanish/>
    </w:rPr>
  </w:style>
  <w:style w:type="paragraph" w:customStyle="1" w:styleId="GlossaryItemDescription">
    <w:name w:val="Glossary Item Description"/>
    <w:basedOn w:val="Normal"/>
    <w:link w:val="GlossaryItemDescriptionChar"/>
    <w:semiHidden/>
    <w:qFormat/>
    <w:rsid w:val="00C50127"/>
    <w:rPr>
      <w:rFonts w:eastAsia="Calibri" w:cs="Times New Roman"/>
      <w:szCs w:val="24"/>
      <w:lang w:eastAsia="en-GB"/>
    </w:rPr>
  </w:style>
  <w:style w:type="character" w:customStyle="1" w:styleId="GlossaryItemDescriptionChar">
    <w:name w:val="Glossary Item Description Char"/>
    <w:basedOn w:val="DefaultParagraphFont"/>
    <w:link w:val="GlossaryItemDescription"/>
    <w:semiHidden/>
    <w:rsid w:val="00C50127"/>
    <w:rPr>
      <w:rFonts w:ascii="Arial" w:eastAsia="Calibri" w:hAnsi="Arial" w:cs="Times New Roman"/>
      <w:sz w:val="24"/>
      <w:szCs w:val="24"/>
      <w:lang w:eastAsia="en-GB"/>
    </w:rPr>
  </w:style>
  <w:style w:type="paragraph" w:customStyle="1" w:styleId="GlossaryItemName">
    <w:name w:val="Glossary Item Name"/>
    <w:basedOn w:val="Normal"/>
    <w:link w:val="GlossaryItemNameChar"/>
    <w:semiHidden/>
    <w:qFormat/>
    <w:rsid w:val="00A01380"/>
    <w:pPr>
      <w:spacing w:before="120" w:after="60"/>
    </w:pPr>
    <w:rPr>
      <w:rFonts w:eastAsia="Calibri" w:cs="Times New Roman"/>
      <w:b/>
      <w:bCs/>
      <w:szCs w:val="24"/>
      <w:lang w:eastAsia="en-GB"/>
    </w:rPr>
  </w:style>
  <w:style w:type="character" w:customStyle="1" w:styleId="GlossaryItemNameChar">
    <w:name w:val="Glossary Item Name Char"/>
    <w:basedOn w:val="DefaultParagraphFont"/>
    <w:link w:val="GlossaryItemName"/>
    <w:semiHidden/>
    <w:rsid w:val="00A01380"/>
    <w:rPr>
      <w:rFonts w:ascii="Arial" w:eastAsia="Calibri" w:hAnsi="Arial" w:cs="Times New Roman"/>
      <w:b/>
      <w:bCs/>
      <w:sz w:val="24"/>
      <w:szCs w:val="24"/>
      <w:lang w:eastAsia="en-GB"/>
    </w:rPr>
  </w:style>
  <w:style w:type="paragraph" w:customStyle="1" w:styleId="Metadata-ItemDescription">
    <w:name w:val="Metadata - Item Description"/>
    <w:basedOn w:val="Normal"/>
    <w:link w:val="Metadata-ItemDescriptionChar"/>
    <w:semiHidden/>
    <w:qFormat/>
    <w:rsid w:val="00C50127"/>
    <w:rPr>
      <w:rFonts w:eastAsia="Calibri" w:cs="Times New Roman"/>
      <w:szCs w:val="24"/>
      <w:lang w:eastAsia="en-GB"/>
    </w:rPr>
  </w:style>
  <w:style w:type="character" w:customStyle="1" w:styleId="Metadata-ItemDescriptionChar">
    <w:name w:val="Metadata - Item Description Char"/>
    <w:basedOn w:val="DefaultParagraphFont"/>
    <w:link w:val="Metadata-ItemDescription"/>
    <w:semiHidden/>
    <w:rsid w:val="00C50127"/>
    <w:rPr>
      <w:rFonts w:ascii="Arial" w:eastAsia="Calibri" w:hAnsi="Arial" w:cs="Times New Roman"/>
      <w:sz w:val="24"/>
      <w:szCs w:val="24"/>
      <w:lang w:eastAsia="en-GB"/>
    </w:rPr>
  </w:style>
  <w:style w:type="paragraph" w:customStyle="1" w:styleId="Metadata-ItemTitle">
    <w:name w:val="Metadata - Item Title"/>
    <w:basedOn w:val="Normal"/>
    <w:link w:val="Metadata-ItemTitleChar"/>
    <w:semiHidden/>
    <w:qFormat/>
    <w:rsid w:val="00C50127"/>
    <w:pPr>
      <w:spacing w:before="120" w:after="120"/>
    </w:pPr>
    <w:rPr>
      <w:rFonts w:eastAsia="Calibri" w:cs="Times New Roman"/>
      <w:b/>
      <w:bCs/>
      <w:szCs w:val="24"/>
      <w:lang w:eastAsia="en-GB"/>
    </w:rPr>
  </w:style>
  <w:style w:type="character" w:customStyle="1" w:styleId="Metadata-ItemTitleChar">
    <w:name w:val="Metadata - Item Title Char"/>
    <w:basedOn w:val="DefaultParagraphFont"/>
    <w:link w:val="Metadata-ItemTitle"/>
    <w:semiHidden/>
    <w:rsid w:val="00C50127"/>
    <w:rPr>
      <w:rFonts w:ascii="Arial" w:eastAsia="Calibri" w:hAnsi="Arial" w:cs="Times New Roman"/>
      <w:b/>
      <w:bCs/>
      <w:sz w:val="24"/>
      <w:szCs w:val="24"/>
      <w:lang w:eastAsia="en-GB"/>
    </w:rPr>
  </w:style>
  <w:style w:type="paragraph" w:customStyle="1" w:styleId="StatsDesignationEditoraluseonly">
    <w:name w:val="Stats Designation (Editoral use only)"/>
    <w:basedOn w:val="Normal"/>
    <w:link w:val="StatsDesignationEditoraluseonlyChar"/>
    <w:semiHidden/>
    <w:qFormat/>
    <w:rsid w:val="00C50127"/>
    <w:rPr>
      <w:color w:val="FFFFFF" w:themeColor="background1"/>
      <w:sz w:val="28"/>
    </w:rPr>
  </w:style>
  <w:style w:type="character" w:customStyle="1" w:styleId="StatsDesignationEditoraluseonlyChar">
    <w:name w:val="Stats Designation (Editoral use only) Char"/>
    <w:basedOn w:val="DefaultParagraphFont"/>
    <w:link w:val="StatsDesignationEditoraluseonly"/>
    <w:semiHidden/>
    <w:rsid w:val="003371A0"/>
    <w:rPr>
      <w:rFonts w:ascii="Arial" w:hAnsi="Arial"/>
      <w:color w:val="FFFFFF" w:themeColor="background1"/>
      <w:sz w:val="28"/>
    </w:rPr>
  </w:style>
  <w:style w:type="paragraph" w:customStyle="1" w:styleId="ImprintpagetextEditorialuseonly">
    <w:name w:val="*Imprint page text (Editorial use only)"/>
    <w:basedOn w:val="Normal"/>
    <w:qFormat/>
    <w:rsid w:val="00292910"/>
    <w:pPr>
      <w:tabs>
        <w:tab w:val="right" w:pos="8959"/>
      </w:tabs>
      <w:spacing w:line="312" w:lineRule="auto"/>
    </w:pPr>
  </w:style>
  <w:style w:type="character" w:customStyle="1" w:styleId="ImprintpageiconsEditorialuseonly">
    <w:name w:val="*Imprint page icons (Editorial use only)"/>
    <w:basedOn w:val="DefaultParagraphFont"/>
    <w:uiPriority w:val="1"/>
    <w:qFormat/>
    <w:rsid w:val="00292910"/>
    <w:rPr>
      <w:position w:val="-14"/>
    </w:rPr>
  </w:style>
  <w:style w:type="character" w:customStyle="1" w:styleId="ImprintPHSlinkEditorialuseonly">
    <w:name w:val="*Imprint PHS link (Editorial use only)"/>
    <w:basedOn w:val="Hyperlink"/>
    <w:uiPriority w:val="1"/>
    <w:qFormat/>
    <w:rsid w:val="005D3601"/>
    <w:rPr>
      <w:b/>
      <w:bCs/>
      <w:color w:val="43358B"/>
      <w:position w:val="-24"/>
      <w:sz w:val="40"/>
    </w:rPr>
  </w:style>
  <w:style w:type="character" w:customStyle="1" w:styleId="showPElogoEditorialuseonly">
    <w:name w:val="*show PE logo (Editorial use only)"/>
    <w:basedOn w:val="hidePElogoEditoraluseonly"/>
    <w:uiPriority w:val="1"/>
    <w:qFormat/>
    <w:rsid w:val="00292910"/>
    <w:rPr>
      <w:vanish w:val="0"/>
      <w:position w:val="0"/>
    </w:rPr>
  </w:style>
  <w:style w:type="character" w:customStyle="1" w:styleId="UnresolvedMention4">
    <w:name w:val="Unresolved Mention4"/>
    <w:basedOn w:val="DefaultParagraphFont"/>
    <w:uiPriority w:val="99"/>
    <w:semiHidden/>
    <w:unhideWhenUsed/>
    <w:rsid w:val="006A7F2F"/>
    <w:rPr>
      <w:color w:val="605E5C"/>
      <w:shd w:val="clear" w:color="auto" w:fill="E1DFDD"/>
    </w:rPr>
  </w:style>
  <w:style w:type="character" w:customStyle="1" w:styleId="UnresolvedMention5">
    <w:name w:val="Unresolved Mention5"/>
    <w:basedOn w:val="DefaultParagraphFont"/>
    <w:uiPriority w:val="99"/>
    <w:semiHidden/>
    <w:unhideWhenUsed/>
    <w:rsid w:val="00CB4883"/>
    <w:rPr>
      <w:color w:val="605E5C"/>
      <w:shd w:val="clear" w:color="auto" w:fill="E1DFDD"/>
    </w:rPr>
  </w:style>
  <w:style w:type="paragraph" w:customStyle="1" w:styleId="TableParagraph">
    <w:name w:val="Table Paragraph"/>
    <w:basedOn w:val="Normal"/>
    <w:uiPriority w:val="1"/>
    <w:qFormat/>
    <w:rsid w:val="00757CAD"/>
    <w:pPr>
      <w:widowControl w:val="0"/>
      <w:autoSpaceDE w:val="0"/>
      <w:autoSpaceDN w:val="0"/>
      <w:spacing w:after="0" w:line="240" w:lineRule="auto"/>
      <w:ind w:left="107"/>
    </w:pPr>
    <w:rPr>
      <w:rFonts w:eastAsia="Arial" w:cs="Arial"/>
      <w:sz w:val="22"/>
      <w:lang w:val="en-US"/>
    </w:rPr>
  </w:style>
  <w:style w:type="paragraph" w:styleId="BodyText">
    <w:name w:val="Body Text"/>
    <w:basedOn w:val="Normal"/>
    <w:link w:val="BodyTextChar"/>
    <w:uiPriority w:val="1"/>
    <w:qFormat/>
    <w:locked/>
    <w:rsid w:val="00757CAD"/>
    <w:pPr>
      <w:widowControl w:val="0"/>
      <w:autoSpaceDE w:val="0"/>
      <w:autoSpaceDN w:val="0"/>
      <w:spacing w:after="0" w:line="240" w:lineRule="auto"/>
    </w:pPr>
    <w:rPr>
      <w:rFonts w:eastAsia="Arial" w:cs="Arial"/>
      <w:sz w:val="22"/>
      <w:lang w:val="en-US"/>
    </w:rPr>
  </w:style>
  <w:style w:type="character" w:customStyle="1" w:styleId="BodyTextChar">
    <w:name w:val="Body Text Char"/>
    <w:basedOn w:val="DefaultParagraphFont"/>
    <w:link w:val="BodyText"/>
    <w:uiPriority w:val="1"/>
    <w:rsid w:val="00757CAD"/>
    <w:rPr>
      <w:rFonts w:ascii="Arial" w:eastAsia="Arial" w:hAnsi="Arial" w:cs="Arial"/>
      <w:lang w:val="en-US"/>
    </w:rPr>
  </w:style>
  <w:style w:type="table" w:styleId="TableGridLight">
    <w:name w:val="Grid Table Light"/>
    <w:basedOn w:val="TableNormal"/>
    <w:uiPriority w:val="40"/>
    <w:locked/>
    <w:rsid w:val="006456F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7E5D9C"/>
    <w:pPr>
      <w:spacing w:after="0" w:line="240" w:lineRule="auto"/>
    </w:pPr>
    <w:rPr>
      <w:rFonts w:ascii="Arial" w:hAnsi="Arial"/>
      <w:sz w:val="24"/>
    </w:rPr>
  </w:style>
  <w:style w:type="paragraph" w:customStyle="1" w:styleId="pf0">
    <w:name w:val="pf0"/>
    <w:basedOn w:val="Normal"/>
    <w:rsid w:val="00BD6937"/>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cf01">
    <w:name w:val="cf01"/>
    <w:basedOn w:val="DefaultParagraphFont"/>
    <w:rsid w:val="00BD6937"/>
    <w:rPr>
      <w:rFonts w:ascii="Segoe UI" w:hAnsi="Segoe UI" w:cs="Segoe UI" w:hint="default"/>
      <w:sz w:val="18"/>
      <w:szCs w:val="18"/>
    </w:rPr>
  </w:style>
  <w:style w:type="character" w:customStyle="1" w:styleId="UnresolvedMention6">
    <w:name w:val="Unresolved Mention6"/>
    <w:basedOn w:val="DefaultParagraphFont"/>
    <w:uiPriority w:val="99"/>
    <w:semiHidden/>
    <w:unhideWhenUsed/>
    <w:rsid w:val="006319CD"/>
    <w:rPr>
      <w:color w:val="605E5C"/>
      <w:shd w:val="clear" w:color="auto" w:fill="E1DFDD"/>
    </w:rPr>
  </w:style>
  <w:style w:type="character" w:customStyle="1" w:styleId="UnresolvedMention7">
    <w:name w:val="Unresolved Mention7"/>
    <w:basedOn w:val="DefaultParagraphFont"/>
    <w:uiPriority w:val="99"/>
    <w:semiHidden/>
    <w:unhideWhenUsed/>
    <w:rsid w:val="00E10C15"/>
    <w:rPr>
      <w:color w:val="605E5C"/>
      <w:shd w:val="clear" w:color="auto" w:fill="E1DFDD"/>
    </w:rPr>
  </w:style>
  <w:style w:type="paragraph" w:styleId="NormalWeb">
    <w:name w:val="Normal (Web)"/>
    <w:basedOn w:val="Normal"/>
    <w:uiPriority w:val="99"/>
    <w:unhideWhenUsed/>
    <w:locked/>
    <w:rsid w:val="00D155AF"/>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locked/>
    <w:rsid w:val="006663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540093">
      <w:bodyDiv w:val="1"/>
      <w:marLeft w:val="0"/>
      <w:marRight w:val="0"/>
      <w:marTop w:val="0"/>
      <w:marBottom w:val="0"/>
      <w:divBdr>
        <w:top w:val="none" w:sz="0" w:space="0" w:color="auto"/>
        <w:left w:val="none" w:sz="0" w:space="0" w:color="auto"/>
        <w:bottom w:val="none" w:sz="0" w:space="0" w:color="auto"/>
        <w:right w:val="none" w:sz="0" w:space="0" w:color="auto"/>
      </w:divBdr>
    </w:div>
    <w:div w:id="742459058">
      <w:bodyDiv w:val="1"/>
      <w:marLeft w:val="0"/>
      <w:marRight w:val="0"/>
      <w:marTop w:val="0"/>
      <w:marBottom w:val="0"/>
      <w:divBdr>
        <w:top w:val="none" w:sz="0" w:space="0" w:color="auto"/>
        <w:left w:val="none" w:sz="0" w:space="0" w:color="auto"/>
        <w:bottom w:val="none" w:sz="0" w:space="0" w:color="auto"/>
        <w:right w:val="none" w:sz="0" w:space="0" w:color="auto"/>
      </w:divBdr>
    </w:div>
    <w:div w:id="751046448">
      <w:bodyDiv w:val="1"/>
      <w:marLeft w:val="0"/>
      <w:marRight w:val="0"/>
      <w:marTop w:val="0"/>
      <w:marBottom w:val="0"/>
      <w:divBdr>
        <w:top w:val="none" w:sz="0" w:space="0" w:color="auto"/>
        <w:left w:val="none" w:sz="0" w:space="0" w:color="auto"/>
        <w:bottom w:val="none" w:sz="0" w:space="0" w:color="auto"/>
        <w:right w:val="none" w:sz="0" w:space="0" w:color="auto"/>
      </w:divBdr>
    </w:div>
    <w:div w:id="914389643">
      <w:bodyDiv w:val="1"/>
      <w:marLeft w:val="0"/>
      <w:marRight w:val="0"/>
      <w:marTop w:val="0"/>
      <w:marBottom w:val="0"/>
      <w:divBdr>
        <w:top w:val="none" w:sz="0" w:space="0" w:color="auto"/>
        <w:left w:val="none" w:sz="0" w:space="0" w:color="auto"/>
        <w:bottom w:val="none" w:sz="0" w:space="0" w:color="auto"/>
        <w:right w:val="none" w:sz="0" w:space="0" w:color="auto"/>
      </w:divBdr>
    </w:div>
    <w:div w:id="1002271636">
      <w:bodyDiv w:val="1"/>
      <w:marLeft w:val="0"/>
      <w:marRight w:val="0"/>
      <w:marTop w:val="0"/>
      <w:marBottom w:val="0"/>
      <w:divBdr>
        <w:top w:val="none" w:sz="0" w:space="0" w:color="auto"/>
        <w:left w:val="none" w:sz="0" w:space="0" w:color="auto"/>
        <w:bottom w:val="none" w:sz="0" w:space="0" w:color="auto"/>
        <w:right w:val="none" w:sz="0" w:space="0" w:color="auto"/>
      </w:divBdr>
    </w:div>
    <w:div w:id="1115951656">
      <w:bodyDiv w:val="1"/>
      <w:marLeft w:val="0"/>
      <w:marRight w:val="0"/>
      <w:marTop w:val="0"/>
      <w:marBottom w:val="0"/>
      <w:divBdr>
        <w:top w:val="none" w:sz="0" w:space="0" w:color="auto"/>
        <w:left w:val="none" w:sz="0" w:space="0" w:color="auto"/>
        <w:bottom w:val="none" w:sz="0" w:space="0" w:color="auto"/>
        <w:right w:val="none" w:sz="0" w:space="0" w:color="auto"/>
      </w:divBdr>
    </w:div>
    <w:div w:id="1274635748">
      <w:bodyDiv w:val="1"/>
      <w:marLeft w:val="0"/>
      <w:marRight w:val="0"/>
      <w:marTop w:val="0"/>
      <w:marBottom w:val="0"/>
      <w:divBdr>
        <w:top w:val="none" w:sz="0" w:space="0" w:color="auto"/>
        <w:left w:val="none" w:sz="0" w:space="0" w:color="auto"/>
        <w:bottom w:val="none" w:sz="0" w:space="0" w:color="auto"/>
        <w:right w:val="none" w:sz="0" w:space="0" w:color="auto"/>
      </w:divBdr>
    </w:div>
    <w:div w:id="1348361036">
      <w:bodyDiv w:val="1"/>
      <w:marLeft w:val="0"/>
      <w:marRight w:val="0"/>
      <w:marTop w:val="0"/>
      <w:marBottom w:val="0"/>
      <w:divBdr>
        <w:top w:val="none" w:sz="0" w:space="0" w:color="auto"/>
        <w:left w:val="none" w:sz="0" w:space="0" w:color="auto"/>
        <w:bottom w:val="none" w:sz="0" w:space="0" w:color="auto"/>
        <w:right w:val="none" w:sz="0" w:space="0" w:color="auto"/>
      </w:divBdr>
    </w:div>
    <w:div w:id="1584139658">
      <w:bodyDiv w:val="1"/>
      <w:marLeft w:val="0"/>
      <w:marRight w:val="0"/>
      <w:marTop w:val="0"/>
      <w:marBottom w:val="0"/>
      <w:divBdr>
        <w:top w:val="none" w:sz="0" w:space="0" w:color="auto"/>
        <w:left w:val="none" w:sz="0" w:space="0" w:color="auto"/>
        <w:bottom w:val="none" w:sz="0" w:space="0" w:color="auto"/>
        <w:right w:val="none" w:sz="0" w:space="0" w:color="auto"/>
      </w:divBdr>
    </w:div>
    <w:div w:id="1803764316">
      <w:bodyDiv w:val="1"/>
      <w:marLeft w:val="0"/>
      <w:marRight w:val="0"/>
      <w:marTop w:val="0"/>
      <w:marBottom w:val="0"/>
      <w:divBdr>
        <w:top w:val="none" w:sz="0" w:space="0" w:color="auto"/>
        <w:left w:val="none" w:sz="0" w:space="0" w:color="auto"/>
        <w:bottom w:val="none" w:sz="0" w:space="0" w:color="auto"/>
        <w:right w:val="none" w:sz="0" w:space="0" w:color="auto"/>
      </w:divBdr>
    </w:div>
    <w:div w:id="1865971075">
      <w:bodyDiv w:val="1"/>
      <w:marLeft w:val="0"/>
      <w:marRight w:val="0"/>
      <w:marTop w:val="0"/>
      <w:marBottom w:val="0"/>
      <w:divBdr>
        <w:top w:val="none" w:sz="0" w:space="0" w:color="auto"/>
        <w:left w:val="none" w:sz="0" w:space="0" w:color="auto"/>
        <w:bottom w:val="none" w:sz="0" w:space="0" w:color="auto"/>
        <w:right w:val="none" w:sz="0" w:space="0" w:color="auto"/>
      </w:divBdr>
    </w:div>
    <w:div w:id="1878815835">
      <w:bodyDiv w:val="1"/>
      <w:marLeft w:val="0"/>
      <w:marRight w:val="0"/>
      <w:marTop w:val="0"/>
      <w:marBottom w:val="0"/>
      <w:divBdr>
        <w:top w:val="none" w:sz="0" w:space="0" w:color="auto"/>
        <w:left w:val="none" w:sz="0" w:space="0" w:color="auto"/>
        <w:bottom w:val="none" w:sz="0" w:space="0" w:color="auto"/>
        <w:right w:val="none" w:sz="0" w:space="0" w:color="auto"/>
      </w:divBdr>
    </w:div>
    <w:div w:id="212522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yperlink" Target="https://www.fsrh.org/Public/Public/Standards-and-Guidance/uk-medical-eligibility-criteria-for-contraceptive-use-ukmec.aspx" TargetMode="External"/><Relationship Id="rId26" Type="http://schemas.openxmlformats.org/officeDocument/2006/relationships/hyperlink" Target="https://www.nhsinform.scot/healthy-living/contraception" TargetMode="External"/><Relationship Id="rId3" Type="http://schemas.openxmlformats.org/officeDocument/2006/relationships/customXml" Target="../customXml/item3.xml"/><Relationship Id="rId21" Type="http://schemas.openxmlformats.org/officeDocument/2006/relationships/hyperlink" Target="https://www.gov.scot/policies/violence-against-women-and-girls/forensic-medical-services-for-rape-victims/"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fsrh.org/standards-and-guidance/documents/fsrh-clinical-guidance-quick-starting-contraception-april-2017/" TargetMode="External"/><Relationship Id="rId17" Type="http://schemas.openxmlformats.org/officeDocument/2006/relationships/image" Target="media/image3.png"/><Relationship Id="rId25" Type="http://schemas.openxmlformats.org/officeDocument/2006/relationships/hyperlink" Target="https://www.youtube.com/watch?v=iNDnrBsj9Jk"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srh.org/Public/Public/Standards-and-Guidance/uk-medical-eligibility-criteria-for-contraceptive-use-ukmec.aspx" TargetMode="External"/><Relationship Id="rId20" Type="http://schemas.openxmlformats.org/officeDocument/2006/relationships/hyperlink" Target="https://rightdecisions.scot.nhs.uk/sarcs"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rh.org/documents/ceu-clinical-guidance-emergency-contraception-march-2017/" TargetMode="External"/><Relationship Id="rId24" Type="http://schemas.openxmlformats.org/officeDocument/2006/relationships/hyperlink" Target="https://www.youtube.com/watch?v=mfr75BVVLqk" TargetMode="External"/><Relationship Id="rId32" Type="http://schemas.openxmlformats.org/officeDocument/2006/relationships/image" Target="media/image7.jp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nformationgovernance.scot.nhs.uk/wp-content/uploads/2020/06/SG-HSC-Scotland-Records-Management-Code-of-Practice-2020-v20200602.pdf" TargetMode="External"/><Relationship Id="rId23" Type="http://schemas.openxmlformats.org/officeDocument/2006/relationships/hyperlink" Target="https://www.youtube.com/watch?v=bhKVBVOhTvY" TargetMode="External"/><Relationship Id="rId28" Type="http://schemas.openxmlformats.org/officeDocument/2006/relationships/hyperlink" Target="https://www.contraceptionchoices.org/emergency-contraception"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fsrh.org/standards-and-guidance/documents/fsrh-clinical-guidance-quick-starting-contraception-april-2017/" TargetMode="Externa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tmp"/><Relationship Id="rId22" Type="http://schemas.openxmlformats.org/officeDocument/2006/relationships/hyperlink" Target="https://www.nhsinform.scot/turn-to-sarcs" TargetMode="External"/><Relationship Id="rId27" Type="http://schemas.openxmlformats.org/officeDocument/2006/relationships/image" Target="media/image4.png"/><Relationship Id="rId30" Type="http://schemas.openxmlformats.org/officeDocument/2006/relationships/hyperlink" Target="https://www.nhsinform.scot/healthy-living/contraception/emergency-contraception/"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c\Desktop\phs-general-report.dotx" TargetMode="External"/></Relationships>
</file>

<file path=word/theme/theme1.xml><?xml version="1.0" encoding="utf-8"?>
<a:theme xmlns:a="http://schemas.openxmlformats.org/drawingml/2006/main" name="Retrospect">
  <a:themeElements>
    <a:clrScheme name="PHS">
      <a:dk1>
        <a:srgbClr val="000000"/>
      </a:dk1>
      <a:lt1>
        <a:sysClr val="window" lastClr="FFFFFF"/>
      </a:lt1>
      <a:dk2>
        <a:srgbClr val="3F3685"/>
      </a:dk2>
      <a:lt2>
        <a:srgbClr val="FFFFFF"/>
      </a:lt2>
      <a:accent1>
        <a:srgbClr val="0078D4"/>
      </a:accent1>
      <a:accent2>
        <a:srgbClr val="83BB26"/>
      </a:accent2>
      <a:accent3>
        <a:srgbClr val="EDD5EB"/>
      </a:accent3>
      <a:accent4>
        <a:srgbClr val="D5D0ED"/>
      </a:accent4>
      <a:accent5>
        <a:srgbClr val="964091"/>
      </a:accent5>
      <a:accent6>
        <a:srgbClr val="C982C5"/>
      </a:accent6>
      <a:hlink>
        <a:srgbClr val="3F3685"/>
      </a:hlink>
      <a:folHlink>
        <a:srgbClr val="3F3685"/>
      </a:folHlink>
    </a:clrScheme>
    <a:fontScheme name="PHS">
      <a:majorFont>
        <a:latin typeface="Arial"/>
        <a:ea typeface=""/>
        <a:cs typeface=""/>
      </a:majorFont>
      <a:minorFont>
        <a:latin typeface="Arial"/>
        <a:ea typeface=""/>
        <a:cs typeface=""/>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txDef>
      <a:spPr bwMode="auto">
        <a:solidFill>
          <a:schemeClr val="bg1"/>
        </a:solidFill>
        <a:ln w="19050">
          <a:solidFill>
            <a:srgbClr val="964091"/>
          </a:solidFill>
          <a:miter lim="800000"/>
          <a:headEnd/>
          <a:tailEnd/>
        </a:ln>
      </a:spPr>
      <a:bodyPr rot="0" vert="horz" wrap="square" lIns="144000" tIns="144000" rIns="144000" bIns="108000" anchor="t" anchorCtr="0">
        <a:noAutofit/>
      </a:bodyPr>
      <a:lstStyle/>
    </a:txDef>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FC61C8359A6F4AB0B6B5AF7C67A868" ma:contentTypeVersion="4" ma:contentTypeDescription="Create a new document." ma:contentTypeScope="" ma:versionID="8844573502beadc0cfcae5f61c413718">
  <xsd:schema xmlns:xsd="http://www.w3.org/2001/XMLSchema" xmlns:xs="http://www.w3.org/2001/XMLSchema" xmlns:p="http://schemas.microsoft.com/office/2006/metadata/properties" xmlns:ns2="286f5d57-d549-49ff-9592-02fd1679dddd" targetNamespace="http://schemas.microsoft.com/office/2006/metadata/properties" ma:root="true" ma:fieldsID="93251bafb6b4991f53d7e712e2d7c63d" ns2:_="">
    <xsd:import namespace="286f5d57-d549-49ff-9592-02fd1679dd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f5d57-d549-49ff-9592-02fd1679d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CB5D3-5BFD-4BBC-9F32-751451F9C34C}">
  <ds:schemaRefs>
    <ds:schemaRef ds:uri="http://schemas.microsoft.com/sharepoint/v3/contenttype/forms"/>
  </ds:schemaRefs>
</ds:datastoreItem>
</file>

<file path=customXml/itemProps2.xml><?xml version="1.0" encoding="utf-8"?>
<ds:datastoreItem xmlns:ds="http://schemas.openxmlformats.org/officeDocument/2006/customXml" ds:itemID="{6BA2688C-114F-4086-A3A1-6C7FB0D8A22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86f5d57-d549-49ff-9592-02fd1679dddd"/>
    <ds:schemaRef ds:uri="http://www.w3.org/XML/1998/namespace"/>
    <ds:schemaRef ds:uri="http://purl.org/dc/dcmitype/"/>
  </ds:schemaRefs>
</ds:datastoreItem>
</file>

<file path=customXml/itemProps3.xml><?xml version="1.0" encoding="utf-8"?>
<ds:datastoreItem xmlns:ds="http://schemas.openxmlformats.org/officeDocument/2006/customXml" ds:itemID="{CB4DAB26-5E00-4355-8192-EE8CB5C2D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f5d57-d549-49ff-9592-02fd1679d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E17FF9-5D1F-470E-A794-43D45EFF6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phs-general-report.dotx</Template>
  <TotalTime>0</TotalTime>
  <Pages>21</Pages>
  <Words>3870</Words>
  <Characters>22064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Patient Group Direction (PGD)</vt:lpstr>
    </vt:vector>
  </TitlesOfParts>
  <Company/>
  <LinksUpToDate>false</LinksUpToDate>
  <CharactersWithSpaces>25883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Group Direction (PGD)</dc:title>
  <dc:subject>NHS PFS Mometasone</dc:subject>
  <dc:creator>Public Health Scotland</dc:creator>
  <cp:keywords>vaccines, immunisation, hepatitis a, hepatitis b</cp:keywords>
  <dc:description/>
  <cp:lastModifiedBy>Nicole Murray (NHS Grampian)</cp:lastModifiedBy>
  <cp:revision>2</cp:revision>
  <cp:lastPrinted>2021-11-12T09:52:00Z</cp:lastPrinted>
  <dcterms:created xsi:type="dcterms:W3CDTF">2024-10-25T12:48:00Z</dcterms:created>
  <dcterms:modified xsi:type="dcterms:W3CDTF">2024-10-25T12:48:00Z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0x01010069FC61C8359A6F4AB0B6B5AF7C67A868</vt:lpwstr>
  </property>
</Properties>
</file>